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948" w:rsidRPr="00693727" w:rsidRDefault="00D850EC">
      <w:pPr>
        <w:sectPr w:rsidR="00D74948" w:rsidRPr="00693727" w:rsidSect="00D74948"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  <w:r>
        <w:rPr>
          <w:noProof/>
          <w:lang w:eastAsia="it-IT"/>
        </w:rPr>
        <w:drawing>
          <wp:anchor distT="0" distB="0" distL="114300" distR="114300" simplePos="0" relativeHeight="251657216" behindDoc="1" locked="0" layoutInCell="1" allowOverlap="1" wp14:anchorId="57F2DF1E" wp14:editId="1B666328">
            <wp:simplePos x="0" y="0"/>
            <wp:positionH relativeFrom="margin">
              <wp:posOffset>3480435</wp:posOffset>
            </wp:positionH>
            <wp:positionV relativeFrom="margin">
              <wp:posOffset>-718820</wp:posOffset>
            </wp:positionV>
            <wp:extent cx="1552575" cy="609600"/>
            <wp:effectExtent l="0" t="0" r="9525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SN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6460"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70B9CF51" wp14:editId="23534074">
            <wp:simplePos x="0" y="0"/>
            <wp:positionH relativeFrom="column">
              <wp:posOffset>1489710</wp:posOffset>
            </wp:positionH>
            <wp:positionV relativeFrom="paragraph">
              <wp:posOffset>-718820</wp:posOffset>
            </wp:positionV>
            <wp:extent cx="807085" cy="7620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08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4EA1" w:rsidRPr="00624EA1" w:rsidRDefault="00203D7F" w:rsidP="00FA646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PRESENTAZIONE</w:t>
      </w:r>
      <w:r>
        <w:rPr>
          <w:b/>
          <w:sz w:val="24"/>
          <w:szCs w:val="24"/>
        </w:rPr>
        <w:br/>
      </w:r>
      <w:bookmarkStart w:id="0" w:name="_GoBack"/>
      <w:bookmarkEnd w:id="0"/>
      <w:r w:rsidR="00624EA1" w:rsidRPr="00624EA1">
        <w:rPr>
          <w:b/>
          <w:sz w:val="24"/>
          <w:szCs w:val="24"/>
        </w:rPr>
        <w:t>Documento ISO-SIN-SNO-SICVE- AINRANEU- ALI</w:t>
      </w:r>
      <w:r w:rsidR="00624EA1">
        <w:rPr>
          <w:b/>
          <w:sz w:val="24"/>
          <w:szCs w:val="24"/>
        </w:rPr>
        <w:t>Ce Italia Odv: Ictus – COVID-19</w:t>
      </w:r>
    </w:p>
    <w:p w:rsidR="00624EA1" w:rsidRDefault="00624EA1" w:rsidP="00624EA1">
      <w:pPr>
        <w:spacing w:after="0"/>
        <w:jc w:val="both"/>
        <w:rPr>
          <w:sz w:val="24"/>
          <w:szCs w:val="24"/>
        </w:rPr>
      </w:pPr>
      <w:r w:rsidRPr="00624EA1">
        <w:rPr>
          <w:sz w:val="24"/>
          <w:szCs w:val="24"/>
        </w:rPr>
        <w:t xml:space="preserve">La pandemia dell’infezione dovuta al nuovo coronavirus </w:t>
      </w:r>
      <w:r w:rsidRPr="00624EA1">
        <w:rPr>
          <w:b/>
          <w:sz w:val="24"/>
          <w:szCs w:val="24"/>
        </w:rPr>
        <w:t>2019-nCoV</w:t>
      </w:r>
      <w:r w:rsidRPr="00624EA1">
        <w:rPr>
          <w:sz w:val="24"/>
          <w:szCs w:val="24"/>
        </w:rPr>
        <w:t xml:space="preserve"> ha radicalmente mutato lo scenario dell’assistenza sanitaria nel nostro Paese. </w:t>
      </w:r>
      <w:r w:rsidRPr="00693727">
        <w:rPr>
          <w:sz w:val="24"/>
          <w:szCs w:val="24"/>
        </w:rPr>
        <w:t>La comunità scientifica desidera contribuire al governo di questa emergenza, proponendo un modello di gestione del paziente con ictus cerebrale acuto che tenga conto della nuova realtà epidemiologica.</w:t>
      </w:r>
      <w:r w:rsidRPr="00624EA1">
        <w:rPr>
          <w:sz w:val="24"/>
          <w:szCs w:val="24"/>
        </w:rPr>
        <w:t xml:space="preserve"> Proponiamo pertanto un percorso clinico-diagnosticoterapeutico che integri l’ordinaria gestione del codice ictus e l’expertise neurovasco</w:t>
      </w:r>
      <w:r>
        <w:rPr>
          <w:sz w:val="24"/>
          <w:szCs w:val="24"/>
        </w:rPr>
        <w:t>lare con il percorso COVID-19.</w:t>
      </w:r>
    </w:p>
    <w:p w:rsidR="00624EA1" w:rsidRPr="00693727" w:rsidRDefault="00624EA1" w:rsidP="00624EA1">
      <w:pPr>
        <w:spacing w:before="240" w:after="0"/>
        <w:jc w:val="both"/>
        <w:rPr>
          <w:b/>
          <w:sz w:val="24"/>
          <w:szCs w:val="24"/>
        </w:rPr>
      </w:pPr>
      <w:r w:rsidRPr="00693727">
        <w:rPr>
          <w:b/>
          <w:sz w:val="24"/>
          <w:szCs w:val="24"/>
        </w:rPr>
        <w:t>Si possono pertanto delineare tre differenti scenari:</w:t>
      </w:r>
    </w:p>
    <w:p w:rsidR="00624EA1" w:rsidRDefault="00624EA1" w:rsidP="00624EA1">
      <w:pPr>
        <w:pStyle w:val="Paragrafoelenco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624EA1">
        <w:rPr>
          <w:sz w:val="24"/>
          <w:szCs w:val="24"/>
        </w:rPr>
        <w:t>Ictus acuto in asse</w:t>
      </w:r>
      <w:r>
        <w:rPr>
          <w:sz w:val="24"/>
          <w:szCs w:val="24"/>
        </w:rPr>
        <w:t>nza di infezione da COVID-19</w:t>
      </w:r>
    </w:p>
    <w:p w:rsidR="00624EA1" w:rsidRDefault="00624EA1" w:rsidP="00624EA1">
      <w:pPr>
        <w:pStyle w:val="Paragrafoelenco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624EA1">
        <w:rPr>
          <w:sz w:val="24"/>
          <w:szCs w:val="24"/>
        </w:rPr>
        <w:t>Ictus acuto come manifestazione di accesso in pazienti successivament</w:t>
      </w:r>
      <w:r>
        <w:rPr>
          <w:sz w:val="24"/>
          <w:szCs w:val="24"/>
        </w:rPr>
        <w:t>e identificati come COVID-19+</w:t>
      </w:r>
    </w:p>
    <w:p w:rsidR="00624EA1" w:rsidRDefault="00624EA1" w:rsidP="00F049A9">
      <w:pPr>
        <w:pStyle w:val="Paragrafoelenco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624EA1">
        <w:rPr>
          <w:sz w:val="24"/>
          <w:szCs w:val="24"/>
        </w:rPr>
        <w:t>Ictus acuto in paz</w:t>
      </w:r>
      <w:r>
        <w:rPr>
          <w:sz w:val="24"/>
          <w:szCs w:val="24"/>
        </w:rPr>
        <w:t>ienti noti per essere COVID-19+</w:t>
      </w:r>
    </w:p>
    <w:p w:rsidR="00624EA1" w:rsidRPr="00624EA1" w:rsidRDefault="00624EA1" w:rsidP="00693727">
      <w:pPr>
        <w:spacing w:before="240" w:after="0"/>
        <w:jc w:val="both"/>
        <w:rPr>
          <w:sz w:val="24"/>
          <w:szCs w:val="24"/>
        </w:rPr>
      </w:pPr>
      <w:r w:rsidRPr="00624EA1">
        <w:rPr>
          <w:sz w:val="24"/>
          <w:szCs w:val="24"/>
        </w:rPr>
        <w:t>Secondo il “Report sulle caratteristiche dei pazienti deceduti positivi a COVID-19 in Italia, dati al 30 marzo 2020</w:t>
      </w:r>
      <w:r w:rsidRPr="00693727">
        <w:rPr>
          <w:sz w:val="24"/>
          <w:szCs w:val="24"/>
        </w:rPr>
        <w:t xml:space="preserve">”, i più importanti fattori di rischio predisponenti all’ictus cerebrale sono gli stessi che troviamo nei pazienti deceduti a seguito dell’infezione: </w:t>
      </w:r>
      <w:r w:rsidRPr="00624EA1">
        <w:rPr>
          <w:sz w:val="24"/>
          <w:szCs w:val="24"/>
        </w:rPr>
        <w:t>ipertensione arteriosa (72,1%), diabete mellito (31,5%), cardiopatia ischemica (27,4%), fibrillazione atriale (22,6%), scompenso cardiaco (16.9%) e pregr</w:t>
      </w:r>
      <w:r>
        <w:rPr>
          <w:sz w:val="24"/>
          <w:szCs w:val="24"/>
        </w:rPr>
        <w:t>esso ictus cerebrale (11,5%).</w:t>
      </w:r>
      <w:r w:rsidR="00693727">
        <w:rPr>
          <w:sz w:val="24"/>
          <w:szCs w:val="24"/>
        </w:rPr>
        <w:t xml:space="preserve"> </w:t>
      </w:r>
      <w:r w:rsidRPr="00624EA1">
        <w:rPr>
          <w:sz w:val="24"/>
          <w:szCs w:val="24"/>
        </w:rPr>
        <w:t xml:space="preserve">In condizioni normali la diagnosi precoce di ictus e la gestione esperta della fase acuta in ambienti e con percorsi clinici dedicati consente di ridurre notevolmente la mortalità e la disabilità. Questa realtà, oramai consolidata, deve oggi essere aggiornata con le conoscenze e le evidenze disponibili relative alle strategie di contenimento, diagnosi e cura della pandemia di SARS-CoV-2.  </w:t>
      </w:r>
    </w:p>
    <w:p w:rsidR="00693727" w:rsidRDefault="00693727" w:rsidP="00693727">
      <w:pPr>
        <w:spacing w:after="0"/>
        <w:jc w:val="both"/>
        <w:rPr>
          <w:sz w:val="24"/>
          <w:szCs w:val="24"/>
        </w:rPr>
      </w:pPr>
    </w:p>
    <w:p w:rsidR="000274D1" w:rsidRPr="00693727" w:rsidRDefault="000274D1" w:rsidP="00693727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Obiettivi del documento:</w:t>
      </w:r>
    </w:p>
    <w:p w:rsidR="000274D1" w:rsidRDefault="000274D1" w:rsidP="000274D1">
      <w:pPr>
        <w:pStyle w:val="Paragrafoelenco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624EA1" w:rsidRPr="000274D1">
        <w:rPr>
          <w:sz w:val="24"/>
          <w:szCs w:val="24"/>
        </w:rPr>
        <w:t>ntegrare, non sostituire, le linee guida per la gestione dei pazienti con ictus e i PDTA dedicati regionali e aziendali in risposta alle necessità legate al contingente scen</w:t>
      </w:r>
      <w:r>
        <w:rPr>
          <w:sz w:val="24"/>
          <w:szCs w:val="24"/>
        </w:rPr>
        <w:t>ario epidemiologico;</w:t>
      </w:r>
    </w:p>
    <w:p w:rsidR="000274D1" w:rsidRDefault="000274D1" w:rsidP="000274D1">
      <w:pPr>
        <w:pStyle w:val="Paragrafoelenco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624EA1" w:rsidRPr="000274D1">
        <w:rPr>
          <w:sz w:val="24"/>
          <w:szCs w:val="24"/>
        </w:rPr>
        <w:t>dattare la gestione del paziente con ictus al nuovo scenario epidemiologico italiano, ottimizzando la capacità di riconoscere infezione COVID-19 latente</w:t>
      </w:r>
      <w:r>
        <w:rPr>
          <w:sz w:val="24"/>
          <w:szCs w:val="24"/>
        </w:rPr>
        <w:t>;</w:t>
      </w:r>
    </w:p>
    <w:p w:rsidR="000274D1" w:rsidRDefault="000274D1" w:rsidP="00CA276B">
      <w:pPr>
        <w:pStyle w:val="Paragrafoelenco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0274D1">
        <w:rPr>
          <w:sz w:val="24"/>
          <w:szCs w:val="24"/>
        </w:rPr>
        <w:t>F</w:t>
      </w:r>
      <w:r w:rsidR="00624EA1" w:rsidRPr="000274D1">
        <w:rPr>
          <w:sz w:val="24"/>
          <w:szCs w:val="24"/>
        </w:rPr>
        <w:t xml:space="preserve">ornire strumenti utili: protocollo aggiornato di valutazione e gestione dei </w:t>
      </w:r>
      <w:r w:rsidRPr="000274D1">
        <w:rPr>
          <w:sz w:val="24"/>
          <w:szCs w:val="24"/>
        </w:rPr>
        <w:t>pazienti con ictus cerebrale.</w:t>
      </w:r>
    </w:p>
    <w:p w:rsidR="00FA6460" w:rsidRDefault="00FA6460" w:rsidP="00FA6460">
      <w:pPr>
        <w:spacing w:after="0"/>
        <w:jc w:val="both"/>
        <w:rPr>
          <w:i/>
          <w:sz w:val="24"/>
          <w:szCs w:val="24"/>
          <w:u w:val="single"/>
        </w:rPr>
      </w:pPr>
    </w:p>
    <w:p w:rsidR="00FA6460" w:rsidRPr="00FA6460" w:rsidRDefault="00203D7F" w:rsidP="00FA6460">
      <w:pPr>
        <w:spacing w:after="0"/>
        <w:jc w:val="both"/>
        <w:rPr>
          <w:i/>
          <w:sz w:val="24"/>
          <w:szCs w:val="24"/>
          <w:u w:val="single"/>
        </w:rPr>
      </w:pPr>
      <w:hyperlink r:id="rId7" w:history="1">
        <w:r w:rsidR="00FA6460" w:rsidRPr="008F33AA">
          <w:rPr>
            <w:rStyle w:val="Collegamentoipertestuale"/>
            <w:i/>
            <w:sz w:val="24"/>
            <w:szCs w:val="24"/>
          </w:rPr>
          <w:t>Leggi il documento integrale qui</w:t>
        </w:r>
      </w:hyperlink>
    </w:p>
    <w:p w:rsidR="003101D3" w:rsidRPr="00AB052C" w:rsidRDefault="003101D3" w:rsidP="003101D3">
      <w:pPr>
        <w:spacing w:before="240"/>
        <w:jc w:val="both"/>
        <w:rPr>
          <w:i/>
        </w:rPr>
      </w:pPr>
      <w:r w:rsidRPr="00AB052C">
        <w:rPr>
          <w:i/>
          <w:iCs/>
          <w:sz w:val="18"/>
          <w:szCs w:val="18"/>
        </w:rPr>
        <w:t>La “Società dei Neurologi, Neurochirurghi e Neuroradiologi Ospedalieri”</w:t>
      </w:r>
      <w:r w:rsidRPr="00AB052C">
        <w:rPr>
          <w:i/>
          <w:sz w:val="18"/>
          <w:szCs w:val="18"/>
        </w:rPr>
        <w:t> (acronimo S.N.O.) nasce il 22 maggio 1960 quando alcuni neurologi e neurochirurghi ospedalieri fondarono un’associazione medica di categoria in grado di riunire operatori sanitari. Scopo dell’associazione quello di </w:t>
      </w:r>
      <w:r w:rsidRPr="00AB052C">
        <w:rPr>
          <w:i/>
          <w:iCs/>
          <w:sz w:val="18"/>
          <w:szCs w:val="18"/>
        </w:rPr>
        <w:t>difendere e tutelare il prestigio e gli interessi sindacali e professionali </w:t>
      </w:r>
      <w:r w:rsidRPr="00AB052C">
        <w:rPr>
          <w:i/>
          <w:sz w:val="18"/>
          <w:szCs w:val="18"/>
        </w:rPr>
        <w:t xml:space="preserve">degli specialisti </w:t>
      </w:r>
      <w:r w:rsidRPr="00AB052C">
        <w:rPr>
          <w:i/>
          <w:iCs/>
          <w:sz w:val="18"/>
          <w:szCs w:val="18"/>
        </w:rPr>
        <w:t xml:space="preserve">studiosi del sistema nervoso e </w:t>
      </w:r>
      <w:r w:rsidRPr="00AB052C">
        <w:rPr>
          <w:i/>
          <w:sz w:val="18"/>
          <w:szCs w:val="18"/>
        </w:rPr>
        <w:t>migliorare</w:t>
      </w:r>
      <w:r w:rsidRPr="00AB052C">
        <w:rPr>
          <w:i/>
          <w:iCs/>
          <w:sz w:val="18"/>
          <w:szCs w:val="18"/>
        </w:rPr>
        <w:t> i vincoli di solidarietà e di amicizia</w:t>
      </w:r>
      <w:r w:rsidRPr="00AB052C">
        <w:rPr>
          <w:i/>
          <w:sz w:val="18"/>
          <w:szCs w:val="18"/>
        </w:rPr>
        <w:t>, facilitare i rapporti con le altre categorie mediche, e</w:t>
      </w:r>
      <w:r w:rsidRPr="00AB052C">
        <w:rPr>
          <w:i/>
          <w:iCs/>
          <w:sz w:val="18"/>
          <w:szCs w:val="18"/>
        </w:rPr>
        <w:t> pianificare</w:t>
      </w:r>
      <w:r w:rsidRPr="00AB052C">
        <w:rPr>
          <w:i/>
          <w:sz w:val="18"/>
          <w:szCs w:val="18"/>
        </w:rPr>
        <w:t> le necessità regionali relative allo studio e alla terapia dei malati del sistema nervoso a livello ospedaliero. Finalità ultima: </w:t>
      </w:r>
      <w:r w:rsidRPr="00AB052C">
        <w:rPr>
          <w:i/>
          <w:iCs/>
          <w:sz w:val="18"/>
          <w:szCs w:val="18"/>
        </w:rPr>
        <w:t>facilitare ed accelerare il progresso tecnico e assistenziale dei Reparti Ospedalieri della Nazione.</w:t>
      </w:r>
      <w:r w:rsidRPr="00AB052C">
        <w:rPr>
          <w:i/>
        </w:rPr>
        <w:t xml:space="preserve"> </w:t>
      </w:r>
    </w:p>
    <w:p w:rsidR="003101D3" w:rsidRPr="00FA6460" w:rsidRDefault="00693727" w:rsidP="003101D3">
      <w:pPr>
        <w:rPr>
          <w:sz w:val="18"/>
          <w:szCs w:val="18"/>
        </w:rPr>
      </w:pPr>
      <w:r w:rsidRPr="00FA6460">
        <w:rPr>
          <w:noProof/>
          <w:sz w:val="18"/>
          <w:szCs w:val="18"/>
          <w:lang w:eastAsia="it-IT"/>
        </w:rPr>
        <w:drawing>
          <wp:anchor distT="0" distB="0" distL="114300" distR="114300" simplePos="0" relativeHeight="251661312" behindDoc="0" locked="0" layoutInCell="1" allowOverlap="1" wp14:anchorId="002005DA" wp14:editId="678D2361">
            <wp:simplePos x="0" y="0"/>
            <wp:positionH relativeFrom="margin">
              <wp:posOffset>4274185</wp:posOffset>
            </wp:positionH>
            <wp:positionV relativeFrom="margin">
              <wp:posOffset>8235315</wp:posOffset>
            </wp:positionV>
            <wp:extent cx="1895475" cy="695325"/>
            <wp:effectExtent l="0" t="0" r="9525" b="9525"/>
            <wp:wrapSquare wrapText="bothSides"/>
            <wp:docPr id="3" name="Immagine 3" descr="F:\roma sno\More_Blocchetto_segr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F:\roma sno\More_Blocchetto_segr1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01D3" w:rsidRPr="00FA6460">
        <w:rPr>
          <w:sz w:val="18"/>
          <w:szCs w:val="18"/>
        </w:rPr>
        <w:t xml:space="preserve">More Comunicazione: </w:t>
      </w:r>
      <w:hyperlink r:id="rId9" w:history="1">
        <w:r w:rsidR="003101D3" w:rsidRPr="00FA6460">
          <w:rPr>
            <w:color w:val="0563C1"/>
            <w:sz w:val="18"/>
            <w:szCs w:val="18"/>
            <w:u w:val="single"/>
          </w:rPr>
          <w:t>info@morecomunicazione.it</w:t>
        </w:r>
      </w:hyperlink>
      <w:r w:rsidR="003101D3" w:rsidRPr="00FA6460">
        <w:rPr>
          <w:sz w:val="18"/>
          <w:szCs w:val="18"/>
        </w:rPr>
        <w:t xml:space="preserve"> – Tel. 0687678154 </w:t>
      </w:r>
    </w:p>
    <w:p w:rsidR="00FA6460" w:rsidRPr="00FA6460" w:rsidRDefault="003101D3" w:rsidP="00693727">
      <w:pPr>
        <w:jc w:val="both"/>
        <w:rPr>
          <w:sz w:val="18"/>
          <w:szCs w:val="18"/>
        </w:rPr>
      </w:pPr>
      <w:r w:rsidRPr="00FA6460">
        <w:rPr>
          <w:sz w:val="18"/>
          <w:szCs w:val="18"/>
        </w:rPr>
        <w:t>Addetto Stampa: Alessandro Genitori – Tel. 3496852022</w:t>
      </w:r>
    </w:p>
    <w:p w:rsidR="00E917B7" w:rsidRPr="00FA6460" w:rsidRDefault="003101D3" w:rsidP="00FA6460">
      <w:pPr>
        <w:rPr>
          <w:sz w:val="18"/>
          <w:szCs w:val="18"/>
        </w:rPr>
      </w:pPr>
      <w:r w:rsidRPr="00FA6460">
        <w:rPr>
          <w:sz w:val="18"/>
          <w:szCs w:val="18"/>
          <w:lang w:val="fr-FR"/>
        </w:rPr>
        <w:lastRenderedPageBreak/>
        <w:t>e-Mail: ufficiostampa@snoitalia.org</w:t>
      </w:r>
    </w:p>
    <w:sectPr w:rsidR="00E917B7" w:rsidRPr="00FA6460" w:rsidSect="00D74948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73216"/>
    <w:multiLevelType w:val="hybridMultilevel"/>
    <w:tmpl w:val="4A1478DC"/>
    <w:lvl w:ilvl="0" w:tplc="04100011">
      <w:start w:val="1"/>
      <w:numFmt w:val="decimal"/>
      <w:lvlText w:val="%1)"/>
      <w:lvlJc w:val="left"/>
      <w:pPr>
        <w:ind w:left="1130" w:hanging="360"/>
      </w:pPr>
    </w:lvl>
    <w:lvl w:ilvl="1" w:tplc="04100019" w:tentative="1">
      <w:start w:val="1"/>
      <w:numFmt w:val="lowerLetter"/>
      <w:lvlText w:val="%2."/>
      <w:lvlJc w:val="left"/>
      <w:pPr>
        <w:ind w:left="1850" w:hanging="360"/>
      </w:pPr>
    </w:lvl>
    <w:lvl w:ilvl="2" w:tplc="0410001B" w:tentative="1">
      <w:start w:val="1"/>
      <w:numFmt w:val="lowerRoman"/>
      <w:lvlText w:val="%3."/>
      <w:lvlJc w:val="right"/>
      <w:pPr>
        <w:ind w:left="2570" w:hanging="180"/>
      </w:pPr>
    </w:lvl>
    <w:lvl w:ilvl="3" w:tplc="0410000F" w:tentative="1">
      <w:start w:val="1"/>
      <w:numFmt w:val="decimal"/>
      <w:lvlText w:val="%4."/>
      <w:lvlJc w:val="left"/>
      <w:pPr>
        <w:ind w:left="3290" w:hanging="360"/>
      </w:pPr>
    </w:lvl>
    <w:lvl w:ilvl="4" w:tplc="04100019" w:tentative="1">
      <w:start w:val="1"/>
      <w:numFmt w:val="lowerLetter"/>
      <w:lvlText w:val="%5."/>
      <w:lvlJc w:val="left"/>
      <w:pPr>
        <w:ind w:left="4010" w:hanging="360"/>
      </w:pPr>
    </w:lvl>
    <w:lvl w:ilvl="5" w:tplc="0410001B" w:tentative="1">
      <w:start w:val="1"/>
      <w:numFmt w:val="lowerRoman"/>
      <w:lvlText w:val="%6."/>
      <w:lvlJc w:val="right"/>
      <w:pPr>
        <w:ind w:left="4730" w:hanging="180"/>
      </w:pPr>
    </w:lvl>
    <w:lvl w:ilvl="6" w:tplc="0410000F" w:tentative="1">
      <w:start w:val="1"/>
      <w:numFmt w:val="decimal"/>
      <w:lvlText w:val="%7."/>
      <w:lvlJc w:val="left"/>
      <w:pPr>
        <w:ind w:left="5450" w:hanging="360"/>
      </w:pPr>
    </w:lvl>
    <w:lvl w:ilvl="7" w:tplc="04100019" w:tentative="1">
      <w:start w:val="1"/>
      <w:numFmt w:val="lowerLetter"/>
      <w:lvlText w:val="%8."/>
      <w:lvlJc w:val="left"/>
      <w:pPr>
        <w:ind w:left="6170" w:hanging="360"/>
      </w:pPr>
    </w:lvl>
    <w:lvl w:ilvl="8" w:tplc="0410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">
    <w:nsid w:val="01F07800"/>
    <w:multiLevelType w:val="hybridMultilevel"/>
    <w:tmpl w:val="BA54CCBE"/>
    <w:lvl w:ilvl="0" w:tplc="04100015">
      <w:start w:val="1"/>
      <w:numFmt w:val="upperLetter"/>
      <w:lvlText w:val="%1."/>
      <w:lvlJc w:val="left"/>
      <w:pPr>
        <w:ind w:left="770" w:hanging="360"/>
      </w:pPr>
    </w:lvl>
    <w:lvl w:ilvl="1" w:tplc="04100019" w:tentative="1">
      <w:start w:val="1"/>
      <w:numFmt w:val="lowerLetter"/>
      <w:lvlText w:val="%2."/>
      <w:lvlJc w:val="left"/>
      <w:pPr>
        <w:ind w:left="1490" w:hanging="360"/>
      </w:pPr>
    </w:lvl>
    <w:lvl w:ilvl="2" w:tplc="0410001B" w:tentative="1">
      <w:start w:val="1"/>
      <w:numFmt w:val="lowerRoman"/>
      <w:lvlText w:val="%3."/>
      <w:lvlJc w:val="right"/>
      <w:pPr>
        <w:ind w:left="2210" w:hanging="180"/>
      </w:pPr>
    </w:lvl>
    <w:lvl w:ilvl="3" w:tplc="0410000F" w:tentative="1">
      <w:start w:val="1"/>
      <w:numFmt w:val="decimal"/>
      <w:lvlText w:val="%4."/>
      <w:lvlJc w:val="left"/>
      <w:pPr>
        <w:ind w:left="2930" w:hanging="360"/>
      </w:pPr>
    </w:lvl>
    <w:lvl w:ilvl="4" w:tplc="04100019" w:tentative="1">
      <w:start w:val="1"/>
      <w:numFmt w:val="lowerLetter"/>
      <w:lvlText w:val="%5."/>
      <w:lvlJc w:val="left"/>
      <w:pPr>
        <w:ind w:left="3650" w:hanging="360"/>
      </w:pPr>
    </w:lvl>
    <w:lvl w:ilvl="5" w:tplc="0410001B" w:tentative="1">
      <w:start w:val="1"/>
      <w:numFmt w:val="lowerRoman"/>
      <w:lvlText w:val="%6."/>
      <w:lvlJc w:val="right"/>
      <w:pPr>
        <w:ind w:left="4370" w:hanging="180"/>
      </w:pPr>
    </w:lvl>
    <w:lvl w:ilvl="6" w:tplc="0410000F" w:tentative="1">
      <w:start w:val="1"/>
      <w:numFmt w:val="decimal"/>
      <w:lvlText w:val="%7."/>
      <w:lvlJc w:val="left"/>
      <w:pPr>
        <w:ind w:left="5090" w:hanging="360"/>
      </w:pPr>
    </w:lvl>
    <w:lvl w:ilvl="7" w:tplc="04100019" w:tentative="1">
      <w:start w:val="1"/>
      <w:numFmt w:val="lowerLetter"/>
      <w:lvlText w:val="%8."/>
      <w:lvlJc w:val="left"/>
      <w:pPr>
        <w:ind w:left="5810" w:hanging="360"/>
      </w:pPr>
    </w:lvl>
    <w:lvl w:ilvl="8" w:tplc="0410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">
    <w:nsid w:val="07AB6B46"/>
    <w:multiLevelType w:val="hybridMultilevel"/>
    <w:tmpl w:val="73CCEECC"/>
    <w:lvl w:ilvl="0" w:tplc="EF9A9A96">
      <w:start w:val="1"/>
      <w:numFmt w:val="bullet"/>
      <w:lvlText w:val="-"/>
      <w:lvlJc w:val="left"/>
      <w:pPr>
        <w:ind w:left="113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3">
    <w:nsid w:val="126902A5"/>
    <w:multiLevelType w:val="hybridMultilevel"/>
    <w:tmpl w:val="495226A6"/>
    <w:lvl w:ilvl="0" w:tplc="2DE895B0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4">
    <w:nsid w:val="156F70A8"/>
    <w:multiLevelType w:val="hybridMultilevel"/>
    <w:tmpl w:val="5E94D458"/>
    <w:lvl w:ilvl="0" w:tplc="EF9A9A9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0B44D88"/>
    <w:multiLevelType w:val="hybridMultilevel"/>
    <w:tmpl w:val="4A3444E8"/>
    <w:lvl w:ilvl="0" w:tplc="EF9A9A96">
      <w:start w:val="1"/>
      <w:numFmt w:val="bullet"/>
      <w:lvlText w:val="-"/>
      <w:lvlJc w:val="left"/>
      <w:pPr>
        <w:ind w:left="113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6">
    <w:nsid w:val="21ED41F3"/>
    <w:multiLevelType w:val="hybridMultilevel"/>
    <w:tmpl w:val="9D54398A"/>
    <w:lvl w:ilvl="0" w:tplc="EF9A9A96">
      <w:start w:val="1"/>
      <w:numFmt w:val="bullet"/>
      <w:lvlText w:val="-"/>
      <w:lvlJc w:val="left"/>
      <w:pPr>
        <w:ind w:left="113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7">
    <w:nsid w:val="24F0562E"/>
    <w:multiLevelType w:val="hybridMultilevel"/>
    <w:tmpl w:val="E42278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3C3672"/>
    <w:multiLevelType w:val="hybridMultilevel"/>
    <w:tmpl w:val="DA14CE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C18EC"/>
    <w:multiLevelType w:val="hybridMultilevel"/>
    <w:tmpl w:val="9E36F980"/>
    <w:lvl w:ilvl="0" w:tplc="EF9A9A96">
      <w:start w:val="1"/>
      <w:numFmt w:val="bullet"/>
      <w:lvlText w:val="-"/>
      <w:lvlJc w:val="left"/>
      <w:pPr>
        <w:ind w:left="113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10">
    <w:nsid w:val="3DB61FF7"/>
    <w:multiLevelType w:val="hybridMultilevel"/>
    <w:tmpl w:val="E2E03636"/>
    <w:lvl w:ilvl="0" w:tplc="04100011">
      <w:start w:val="1"/>
      <w:numFmt w:val="decimal"/>
      <w:lvlText w:val="%1)"/>
      <w:lvlJc w:val="left"/>
      <w:pPr>
        <w:ind w:left="1850" w:hanging="360"/>
      </w:pPr>
    </w:lvl>
    <w:lvl w:ilvl="1" w:tplc="04100019" w:tentative="1">
      <w:start w:val="1"/>
      <w:numFmt w:val="lowerLetter"/>
      <w:lvlText w:val="%2."/>
      <w:lvlJc w:val="left"/>
      <w:pPr>
        <w:ind w:left="2570" w:hanging="360"/>
      </w:pPr>
    </w:lvl>
    <w:lvl w:ilvl="2" w:tplc="0410001B" w:tentative="1">
      <w:start w:val="1"/>
      <w:numFmt w:val="lowerRoman"/>
      <w:lvlText w:val="%3."/>
      <w:lvlJc w:val="right"/>
      <w:pPr>
        <w:ind w:left="3290" w:hanging="180"/>
      </w:pPr>
    </w:lvl>
    <w:lvl w:ilvl="3" w:tplc="0410000F" w:tentative="1">
      <w:start w:val="1"/>
      <w:numFmt w:val="decimal"/>
      <w:lvlText w:val="%4."/>
      <w:lvlJc w:val="left"/>
      <w:pPr>
        <w:ind w:left="4010" w:hanging="360"/>
      </w:pPr>
    </w:lvl>
    <w:lvl w:ilvl="4" w:tplc="04100019" w:tentative="1">
      <w:start w:val="1"/>
      <w:numFmt w:val="lowerLetter"/>
      <w:lvlText w:val="%5."/>
      <w:lvlJc w:val="left"/>
      <w:pPr>
        <w:ind w:left="4730" w:hanging="360"/>
      </w:pPr>
    </w:lvl>
    <w:lvl w:ilvl="5" w:tplc="0410001B" w:tentative="1">
      <w:start w:val="1"/>
      <w:numFmt w:val="lowerRoman"/>
      <w:lvlText w:val="%6."/>
      <w:lvlJc w:val="right"/>
      <w:pPr>
        <w:ind w:left="5450" w:hanging="180"/>
      </w:pPr>
    </w:lvl>
    <w:lvl w:ilvl="6" w:tplc="0410000F" w:tentative="1">
      <w:start w:val="1"/>
      <w:numFmt w:val="decimal"/>
      <w:lvlText w:val="%7."/>
      <w:lvlJc w:val="left"/>
      <w:pPr>
        <w:ind w:left="6170" w:hanging="360"/>
      </w:pPr>
    </w:lvl>
    <w:lvl w:ilvl="7" w:tplc="04100019" w:tentative="1">
      <w:start w:val="1"/>
      <w:numFmt w:val="lowerLetter"/>
      <w:lvlText w:val="%8."/>
      <w:lvlJc w:val="left"/>
      <w:pPr>
        <w:ind w:left="6890" w:hanging="360"/>
      </w:pPr>
    </w:lvl>
    <w:lvl w:ilvl="8" w:tplc="0410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11">
    <w:nsid w:val="66ED66F9"/>
    <w:multiLevelType w:val="hybridMultilevel"/>
    <w:tmpl w:val="0FF0D302"/>
    <w:lvl w:ilvl="0" w:tplc="C37608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AD031F"/>
    <w:multiLevelType w:val="hybridMultilevel"/>
    <w:tmpl w:val="F55202A6"/>
    <w:lvl w:ilvl="0" w:tplc="EF9A9A9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826134A"/>
    <w:multiLevelType w:val="hybridMultilevel"/>
    <w:tmpl w:val="6A3CFDE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3"/>
  </w:num>
  <w:num w:numId="4">
    <w:abstractNumId w:val="7"/>
  </w:num>
  <w:num w:numId="5">
    <w:abstractNumId w:val="4"/>
  </w:num>
  <w:num w:numId="6">
    <w:abstractNumId w:val="12"/>
  </w:num>
  <w:num w:numId="7">
    <w:abstractNumId w:val="1"/>
  </w:num>
  <w:num w:numId="8">
    <w:abstractNumId w:val="0"/>
  </w:num>
  <w:num w:numId="9">
    <w:abstractNumId w:val="6"/>
  </w:num>
  <w:num w:numId="10">
    <w:abstractNumId w:val="10"/>
  </w:num>
  <w:num w:numId="11">
    <w:abstractNumId w:val="5"/>
  </w:num>
  <w:num w:numId="12">
    <w:abstractNumId w:val="9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80E"/>
    <w:rsid w:val="000274D1"/>
    <w:rsid w:val="00054A4D"/>
    <w:rsid w:val="00060D1D"/>
    <w:rsid w:val="00083F8E"/>
    <w:rsid w:val="00106BE9"/>
    <w:rsid w:val="00165E74"/>
    <w:rsid w:val="00167D4A"/>
    <w:rsid w:val="00203D7F"/>
    <w:rsid w:val="0029285C"/>
    <w:rsid w:val="0029286D"/>
    <w:rsid w:val="002E4DA1"/>
    <w:rsid w:val="003101D3"/>
    <w:rsid w:val="004B70B7"/>
    <w:rsid w:val="005C4FE9"/>
    <w:rsid w:val="00624EA1"/>
    <w:rsid w:val="00645103"/>
    <w:rsid w:val="0064580E"/>
    <w:rsid w:val="00693727"/>
    <w:rsid w:val="008238F0"/>
    <w:rsid w:val="008B09E1"/>
    <w:rsid w:val="008F33AA"/>
    <w:rsid w:val="00B519C1"/>
    <w:rsid w:val="00B624E5"/>
    <w:rsid w:val="00B7607D"/>
    <w:rsid w:val="00C62C8A"/>
    <w:rsid w:val="00D325D8"/>
    <w:rsid w:val="00D74948"/>
    <w:rsid w:val="00D850EC"/>
    <w:rsid w:val="00D8542A"/>
    <w:rsid w:val="00DE0195"/>
    <w:rsid w:val="00E44449"/>
    <w:rsid w:val="00E8667F"/>
    <w:rsid w:val="00E917B7"/>
    <w:rsid w:val="00ED2270"/>
    <w:rsid w:val="00F53AD6"/>
    <w:rsid w:val="00F933F1"/>
    <w:rsid w:val="00FA6460"/>
    <w:rsid w:val="00FF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0D527F-0657-48D2-915C-D6C1AF37B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624E5"/>
  </w:style>
  <w:style w:type="paragraph" w:styleId="Titolo1">
    <w:name w:val="heading 1"/>
    <w:basedOn w:val="Normale"/>
    <w:next w:val="Normale"/>
    <w:link w:val="Titolo1Carattere"/>
    <w:uiPriority w:val="9"/>
    <w:qFormat/>
    <w:rsid w:val="00624E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62C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62C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24EA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624EA1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29286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29286D"/>
    <w:pPr>
      <w:widowControl w:val="0"/>
      <w:autoSpaceDE w:val="0"/>
      <w:autoSpaceDN w:val="0"/>
      <w:spacing w:after="0" w:line="240" w:lineRule="auto"/>
      <w:ind w:left="110"/>
    </w:pPr>
    <w:rPr>
      <w:rFonts w:ascii="Calibri" w:eastAsia="Calibri" w:hAnsi="Calibri" w:cs="Calibri"/>
      <w:lang w:eastAsia="it-IT" w:bidi="it-IT"/>
    </w:rPr>
  </w:style>
  <w:style w:type="table" w:customStyle="1" w:styleId="TableNormal1">
    <w:name w:val="Table Normal1"/>
    <w:uiPriority w:val="2"/>
    <w:semiHidden/>
    <w:unhideWhenUsed/>
    <w:qFormat/>
    <w:rsid w:val="0029286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167D4A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5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54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7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file:///C:\Users\segre\AppData\Local\Microsoft\Windows\INetCache\Content.Outlook\UXFOQ9H8\24_CS%20SNO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morecomunica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Alessandro</dc:creator>
  <cp:lastModifiedBy>more comunicazione</cp:lastModifiedBy>
  <cp:revision>2</cp:revision>
  <dcterms:created xsi:type="dcterms:W3CDTF">2020-04-24T10:30:00Z</dcterms:created>
  <dcterms:modified xsi:type="dcterms:W3CDTF">2020-04-24T10:30:00Z</dcterms:modified>
</cp:coreProperties>
</file>