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A1" w:rsidRDefault="00624EA1"/>
    <w:p w:rsidR="00D74948" w:rsidRDefault="00D74948">
      <w:r>
        <w:t xml:space="preserve">Comunicato Stampa </w:t>
      </w:r>
      <w:r w:rsidR="00E917B7">
        <w:t>24</w:t>
      </w:r>
    </w:p>
    <w:p w:rsidR="00D74948" w:rsidRDefault="00D74948">
      <w:r>
        <w:t>SNO Italia | Scienze Neurologiche Ospedaliere</w:t>
      </w:r>
    </w:p>
    <w:p w:rsidR="00D74948" w:rsidRDefault="00D74948">
      <w:pPr>
        <w:rPr>
          <w:b/>
        </w:rPr>
      </w:pPr>
      <w:r>
        <w:rPr>
          <w:noProof/>
          <w:lang w:eastAsia="it-IT"/>
        </w:rPr>
        <w:lastRenderedPageBreak/>
        <w:drawing>
          <wp:inline distT="0" distB="0" distL="0" distR="0" wp14:anchorId="1D1E6EB4" wp14:editId="3389B1A1">
            <wp:extent cx="2681176" cy="1052624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672" cy="108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948" w:rsidRDefault="00D74948">
      <w:pPr>
        <w:rPr>
          <w:b/>
        </w:rPr>
        <w:sectPr w:rsidR="00D74948" w:rsidSect="00D74948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74948" w:rsidRDefault="00D74948">
      <w:pPr>
        <w:rPr>
          <w:b/>
        </w:rPr>
      </w:pPr>
    </w:p>
    <w:p w:rsidR="00624EA1" w:rsidRPr="00624EA1" w:rsidRDefault="00624EA1" w:rsidP="00F53AD6">
      <w:pPr>
        <w:jc w:val="center"/>
        <w:rPr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4C701424" wp14:editId="02C17AE7">
            <wp:simplePos x="0" y="0"/>
            <wp:positionH relativeFrom="page">
              <wp:posOffset>720090</wp:posOffset>
            </wp:positionH>
            <wp:positionV relativeFrom="paragraph">
              <wp:posOffset>350653</wp:posOffset>
            </wp:positionV>
            <wp:extent cx="1029443" cy="971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43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EA1">
        <w:rPr>
          <w:b/>
          <w:sz w:val="24"/>
          <w:szCs w:val="24"/>
        </w:rPr>
        <w:t xml:space="preserve">Documento ISO-SIN-SNO-SICVE- AINRANEU- </w:t>
      </w:r>
      <w:proofErr w:type="spellStart"/>
      <w:r w:rsidRPr="00624EA1">
        <w:rPr>
          <w:b/>
          <w:sz w:val="24"/>
          <w:szCs w:val="24"/>
        </w:rPr>
        <w:t>ALI</w:t>
      </w:r>
      <w:r>
        <w:rPr>
          <w:b/>
          <w:sz w:val="24"/>
          <w:szCs w:val="24"/>
        </w:rPr>
        <w:t>Ce</w:t>
      </w:r>
      <w:proofErr w:type="spellEnd"/>
      <w:r>
        <w:rPr>
          <w:b/>
          <w:sz w:val="24"/>
          <w:szCs w:val="24"/>
        </w:rPr>
        <w:t xml:space="preserve"> Italia </w:t>
      </w:r>
      <w:proofErr w:type="spellStart"/>
      <w:r>
        <w:rPr>
          <w:b/>
          <w:sz w:val="24"/>
          <w:szCs w:val="24"/>
        </w:rPr>
        <w:t>Odv</w:t>
      </w:r>
      <w:proofErr w:type="spellEnd"/>
      <w:r>
        <w:rPr>
          <w:b/>
          <w:sz w:val="24"/>
          <w:szCs w:val="24"/>
        </w:rPr>
        <w:t>: Ictus – COVID-19</w:t>
      </w:r>
    </w:p>
    <w:p w:rsidR="00624EA1" w:rsidRDefault="00624EA1" w:rsidP="00624EA1">
      <w:pPr>
        <w:ind w:right="108"/>
        <w:jc w:val="both"/>
        <w:rPr>
          <w:b/>
          <w:sz w:val="20"/>
          <w:szCs w:val="20"/>
        </w:rPr>
      </w:pPr>
      <w:r w:rsidRPr="00624EA1">
        <w:rPr>
          <w:b/>
          <w:sz w:val="20"/>
          <w:szCs w:val="20"/>
        </w:rPr>
        <w:t xml:space="preserve">Hanno contribuito alla stesura del documento: Francesca Romana Pezzella (Roma – Coordinatore ISO Lazio, Consigliere ANEU), Valeria Caso (Perugia – </w:t>
      </w:r>
      <w:proofErr w:type="spellStart"/>
      <w:r w:rsidRPr="00624EA1">
        <w:rPr>
          <w:b/>
          <w:sz w:val="20"/>
          <w:szCs w:val="20"/>
        </w:rPr>
        <w:t>Past</w:t>
      </w:r>
      <w:proofErr w:type="spellEnd"/>
      <w:r w:rsidRPr="00624EA1">
        <w:rPr>
          <w:b/>
          <w:sz w:val="20"/>
          <w:szCs w:val="20"/>
        </w:rPr>
        <w:t xml:space="preserve"> </w:t>
      </w:r>
      <w:proofErr w:type="spellStart"/>
      <w:r w:rsidRPr="00624EA1">
        <w:rPr>
          <w:b/>
          <w:sz w:val="20"/>
          <w:szCs w:val="20"/>
        </w:rPr>
        <w:t>President</w:t>
      </w:r>
      <w:proofErr w:type="spellEnd"/>
      <w:r w:rsidRPr="00624EA1">
        <w:rPr>
          <w:b/>
          <w:sz w:val="20"/>
          <w:szCs w:val="20"/>
        </w:rPr>
        <w:t xml:space="preserve"> ESO), Francesco </w:t>
      </w:r>
      <w:proofErr w:type="spellStart"/>
      <w:r w:rsidRPr="00624EA1">
        <w:rPr>
          <w:b/>
          <w:sz w:val="20"/>
          <w:szCs w:val="20"/>
        </w:rPr>
        <w:t>Causin</w:t>
      </w:r>
      <w:proofErr w:type="spellEnd"/>
      <w:r w:rsidRPr="00624EA1">
        <w:rPr>
          <w:b/>
          <w:sz w:val="20"/>
          <w:szCs w:val="20"/>
        </w:rPr>
        <w:t xml:space="preserve"> (Padova – Coordinatore Sezione Interventistica AINR), Anna Cavallini (Pavia – Consigliere ANEU), Domenico Consoli (Vibo Valentia – Consigliere ISO, Vice Presidente ANEU), Massimo Del Sette (Genova – Vice Presidente SIN, Consigliere ISO), Carlo Gandolfo (Genova – Consigliere ISO), Gaetano Lanza (Castellanza (VA) – Consigliere ISO , Consigliere SICVE), Maurizio Melis (Cagliari – Presidente SNO, Consigliere ISO), Giuseppe </w:t>
      </w:r>
      <w:proofErr w:type="spellStart"/>
      <w:r w:rsidRPr="00624EA1">
        <w:rPr>
          <w:b/>
          <w:sz w:val="20"/>
          <w:szCs w:val="20"/>
        </w:rPr>
        <w:t>Micieli</w:t>
      </w:r>
      <w:proofErr w:type="spellEnd"/>
      <w:r w:rsidRPr="00624EA1">
        <w:rPr>
          <w:b/>
          <w:sz w:val="20"/>
          <w:szCs w:val="20"/>
        </w:rPr>
        <w:t xml:space="preserve"> (Pavia – Presidente ANEU), Mario Muto (Napoli – </w:t>
      </w:r>
      <w:proofErr w:type="spellStart"/>
      <w:r w:rsidRPr="00624EA1">
        <w:rPr>
          <w:b/>
          <w:sz w:val="20"/>
          <w:szCs w:val="20"/>
        </w:rPr>
        <w:t>Past</w:t>
      </w:r>
      <w:proofErr w:type="spellEnd"/>
      <w:r w:rsidRPr="00624EA1">
        <w:rPr>
          <w:b/>
          <w:sz w:val="20"/>
          <w:szCs w:val="20"/>
        </w:rPr>
        <w:t xml:space="preserve"> </w:t>
      </w:r>
      <w:proofErr w:type="spellStart"/>
      <w:r w:rsidRPr="00624EA1">
        <w:rPr>
          <w:b/>
          <w:sz w:val="20"/>
          <w:szCs w:val="20"/>
        </w:rPr>
        <w:t>President</w:t>
      </w:r>
      <w:proofErr w:type="spellEnd"/>
      <w:r w:rsidRPr="00624EA1">
        <w:rPr>
          <w:b/>
          <w:sz w:val="20"/>
          <w:szCs w:val="20"/>
        </w:rPr>
        <w:t xml:space="preserve"> AINR), Fabrizio Giorgio Pennacchi (Roma- </w:t>
      </w:r>
      <w:proofErr w:type="spellStart"/>
      <w:r w:rsidRPr="00624EA1">
        <w:rPr>
          <w:b/>
          <w:sz w:val="20"/>
          <w:szCs w:val="20"/>
        </w:rPr>
        <w:t>ALICe</w:t>
      </w:r>
      <w:proofErr w:type="spellEnd"/>
      <w:r w:rsidRPr="00624EA1">
        <w:rPr>
          <w:b/>
          <w:sz w:val="20"/>
          <w:szCs w:val="20"/>
        </w:rPr>
        <w:t xml:space="preserve"> Lazio </w:t>
      </w:r>
      <w:proofErr w:type="spellStart"/>
      <w:r w:rsidRPr="00624EA1">
        <w:rPr>
          <w:b/>
          <w:sz w:val="20"/>
          <w:szCs w:val="20"/>
        </w:rPr>
        <w:t>Odv</w:t>
      </w:r>
      <w:proofErr w:type="spellEnd"/>
      <w:r w:rsidRPr="00624EA1">
        <w:rPr>
          <w:b/>
          <w:sz w:val="20"/>
          <w:szCs w:val="20"/>
        </w:rPr>
        <w:t xml:space="preserve">), Nicoletta Reale (Genova – Presidente </w:t>
      </w:r>
      <w:proofErr w:type="spellStart"/>
      <w:r w:rsidRPr="00624EA1">
        <w:rPr>
          <w:b/>
          <w:sz w:val="20"/>
          <w:szCs w:val="20"/>
        </w:rPr>
        <w:t>ALICe</w:t>
      </w:r>
      <w:proofErr w:type="spellEnd"/>
      <w:r w:rsidRPr="00624EA1">
        <w:rPr>
          <w:b/>
          <w:sz w:val="20"/>
          <w:szCs w:val="20"/>
        </w:rPr>
        <w:t xml:space="preserve"> Italia </w:t>
      </w:r>
      <w:proofErr w:type="spellStart"/>
      <w:r w:rsidRPr="00624EA1">
        <w:rPr>
          <w:b/>
          <w:sz w:val="20"/>
          <w:szCs w:val="20"/>
        </w:rPr>
        <w:t>Odv</w:t>
      </w:r>
      <w:proofErr w:type="spellEnd"/>
      <w:r w:rsidRPr="00624EA1">
        <w:rPr>
          <w:b/>
          <w:sz w:val="20"/>
          <w:szCs w:val="20"/>
        </w:rPr>
        <w:t xml:space="preserve"> ), Simona Sacco (L’Aquila – Consigliere ISO), Paola </w:t>
      </w:r>
      <w:proofErr w:type="spellStart"/>
      <w:r w:rsidRPr="00624EA1">
        <w:rPr>
          <w:b/>
          <w:sz w:val="20"/>
          <w:szCs w:val="20"/>
        </w:rPr>
        <w:t>Santalucia</w:t>
      </w:r>
      <w:proofErr w:type="spellEnd"/>
      <w:r w:rsidRPr="00624EA1">
        <w:rPr>
          <w:b/>
          <w:sz w:val="20"/>
          <w:szCs w:val="20"/>
        </w:rPr>
        <w:t xml:space="preserve"> (Ragusa – Segretario ISO), Mauro Silvestrini (Ancona – Presidente eletto ISO), Gioacchino Tedeschi (Napoli – Presidente SIN), Marialuisa Zedde (Reggio Emilia), Andrea Zini (Coordinatore ISO Emilia Romagna) e Danilo Toni (Roma – Presidente</w:t>
      </w:r>
      <w:r w:rsidRPr="00624EA1">
        <w:rPr>
          <w:b/>
          <w:spacing w:val="-11"/>
          <w:sz w:val="20"/>
          <w:szCs w:val="20"/>
        </w:rPr>
        <w:t xml:space="preserve"> </w:t>
      </w:r>
      <w:r w:rsidRPr="00624EA1">
        <w:rPr>
          <w:b/>
          <w:sz w:val="20"/>
          <w:szCs w:val="20"/>
        </w:rPr>
        <w:t>ISO)</w:t>
      </w:r>
    </w:p>
    <w:p w:rsidR="00E917B7" w:rsidRPr="00624EA1" w:rsidRDefault="00E917B7" w:rsidP="00624EA1">
      <w:pPr>
        <w:ind w:right="108"/>
        <w:jc w:val="both"/>
        <w:rPr>
          <w:b/>
          <w:sz w:val="20"/>
          <w:szCs w:val="20"/>
        </w:rPr>
      </w:pPr>
    </w:p>
    <w:p w:rsidR="00624EA1" w:rsidRPr="00624EA1" w:rsidRDefault="00624EA1" w:rsidP="00624EA1">
      <w:pPr>
        <w:spacing w:after="0"/>
        <w:jc w:val="both"/>
        <w:rPr>
          <w:b/>
          <w:sz w:val="24"/>
          <w:szCs w:val="24"/>
          <w:u w:val="single"/>
        </w:rPr>
      </w:pPr>
      <w:r w:rsidRPr="00624EA1">
        <w:rPr>
          <w:b/>
          <w:sz w:val="24"/>
          <w:szCs w:val="24"/>
          <w:u w:val="single"/>
        </w:rPr>
        <w:t>Introduzione</w:t>
      </w:r>
    </w:p>
    <w:p w:rsidR="00624EA1" w:rsidRDefault="00624EA1" w:rsidP="00624EA1">
      <w:pPr>
        <w:spacing w:after="0"/>
        <w:jc w:val="both"/>
        <w:rPr>
          <w:sz w:val="24"/>
          <w:szCs w:val="24"/>
        </w:rPr>
      </w:pPr>
      <w:r w:rsidRPr="00624EA1">
        <w:rPr>
          <w:sz w:val="24"/>
          <w:szCs w:val="24"/>
        </w:rPr>
        <w:t xml:space="preserve">La pandemia dell’infezione dovuta al nuovo coronavirus </w:t>
      </w:r>
      <w:r w:rsidRPr="00624EA1">
        <w:rPr>
          <w:b/>
          <w:sz w:val="24"/>
          <w:szCs w:val="24"/>
        </w:rPr>
        <w:t>2019-nCoV</w:t>
      </w:r>
      <w:r w:rsidRPr="00624EA1">
        <w:rPr>
          <w:sz w:val="24"/>
          <w:szCs w:val="24"/>
        </w:rPr>
        <w:t xml:space="preserve"> ha radicalmente mutato lo scenario dell’assistenza sanitaria nel nostro Paese. </w:t>
      </w:r>
      <w:r w:rsidRPr="00624EA1">
        <w:rPr>
          <w:b/>
          <w:sz w:val="24"/>
          <w:szCs w:val="24"/>
        </w:rPr>
        <w:t>La comunità scientifica desidera contribuire al governo di questa emergenza, proponendo un modello di gestione del paziente con ictus cerebrale acuto che tenga conto della nuova realtà epidemiologica</w:t>
      </w:r>
      <w:r w:rsidRPr="00624EA1">
        <w:rPr>
          <w:sz w:val="24"/>
          <w:szCs w:val="24"/>
        </w:rPr>
        <w:t xml:space="preserve"> e, soprattutto, della rimodulazione del </w:t>
      </w:r>
      <w:proofErr w:type="spellStart"/>
      <w:r w:rsidRPr="00624EA1">
        <w:rPr>
          <w:sz w:val="24"/>
          <w:szCs w:val="24"/>
        </w:rPr>
        <w:t>setting</w:t>
      </w:r>
      <w:proofErr w:type="spellEnd"/>
      <w:r w:rsidRPr="00624EA1">
        <w:rPr>
          <w:sz w:val="24"/>
          <w:szCs w:val="24"/>
        </w:rPr>
        <w:t xml:space="preserve"> in cui gli operatori sanitari, e in particolare i Neurologi coinvolti nella cura del paziente con ictus, sono chiamati ad operare. Proponiamo pertanto un percorso clinico-</w:t>
      </w:r>
      <w:proofErr w:type="spellStart"/>
      <w:r w:rsidRPr="00624EA1">
        <w:rPr>
          <w:sz w:val="24"/>
          <w:szCs w:val="24"/>
        </w:rPr>
        <w:t>diagnosticoterapeutico</w:t>
      </w:r>
      <w:proofErr w:type="spellEnd"/>
      <w:r w:rsidRPr="00624EA1">
        <w:rPr>
          <w:sz w:val="24"/>
          <w:szCs w:val="24"/>
        </w:rPr>
        <w:t xml:space="preserve"> che integri l’ordinaria gestione del codice ictus e l’expertise </w:t>
      </w:r>
      <w:proofErr w:type="spellStart"/>
      <w:r w:rsidRPr="00624EA1">
        <w:rPr>
          <w:sz w:val="24"/>
          <w:szCs w:val="24"/>
        </w:rPr>
        <w:t>neurovasco</w:t>
      </w:r>
      <w:r>
        <w:rPr>
          <w:sz w:val="24"/>
          <w:szCs w:val="24"/>
        </w:rPr>
        <w:t>lare</w:t>
      </w:r>
      <w:proofErr w:type="spellEnd"/>
      <w:r>
        <w:rPr>
          <w:sz w:val="24"/>
          <w:szCs w:val="24"/>
        </w:rPr>
        <w:t xml:space="preserve"> con il percorso COVID-19.</w:t>
      </w:r>
    </w:p>
    <w:p w:rsidR="00624EA1" w:rsidRPr="00624EA1" w:rsidRDefault="00624EA1" w:rsidP="00624EA1">
      <w:pPr>
        <w:spacing w:before="240" w:after="0"/>
        <w:jc w:val="both"/>
        <w:rPr>
          <w:b/>
          <w:sz w:val="24"/>
          <w:szCs w:val="24"/>
        </w:rPr>
      </w:pPr>
      <w:r w:rsidRPr="00624EA1">
        <w:rPr>
          <w:b/>
          <w:sz w:val="24"/>
          <w:szCs w:val="24"/>
        </w:rPr>
        <w:t>L’ictus cerebrale è una emergenza medica; la concomitanza con l’infezione da Coronavirus è una evenienza possibile con importanti implicazioni logistiche e di sicurezza del percorso. L’accesso in emergenza della persona con sospetto ictus cerebrale è spesso influenzato/modificato dalla necessità di dedicare attenzione e risorse al numero crescente di pazienti con insufficienza respirato</w:t>
      </w:r>
      <w:r>
        <w:rPr>
          <w:b/>
          <w:sz w:val="24"/>
          <w:szCs w:val="24"/>
        </w:rPr>
        <w:t>ria e ai sospetti COVID-19+</w:t>
      </w:r>
      <w:r w:rsidRPr="00624EA1">
        <w:rPr>
          <w:b/>
          <w:sz w:val="24"/>
          <w:szCs w:val="24"/>
          <w:vertAlign w:val="superscript"/>
        </w:rPr>
        <w:t>1-2</w:t>
      </w:r>
    </w:p>
    <w:p w:rsidR="00624EA1" w:rsidRDefault="00624EA1" w:rsidP="00624EA1">
      <w:pPr>
        <w:spacing w:before="240" w:after="0"/>
        <w:jc w:val="both"/>
        <w:rPr>
          <w:sz w:val="24"/>
          <w:szCs w:val="24"/>
        </w:rPr>
      </w:pPr>
      <w:r w:rsidRPr="00624EA1">
        <w:rPr>
          <w:sz w:val="24"/>
          <w:szCs w:val="24"/>
        </w:rPr>
        <w:t>Si possono pertanto deli</w:t>
      </w:r>
      <w:r>
        <w:rPr>
          <w:sz w:val="24"/>
          <w:szCs w:val="24"/>
        </w:rPr>
        <w:t>neare tre differenti scenari:</w:t>
      </w:r>
    </w:p>
    <w:p w:rsidR="00624EA1" w:rsidRDefault="00624EA1" w:rsidP="00624EA1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24EA1">
        <w:rPr>
          <w:sz w:val="24"/>
          <w:szCs w:val="24"/>
        </w:rPr>
        <w:t>Ictus acuto in asse</w:t>
      </w:r>
      <w:r>
        <w:rPr>
          <w:sz w:val="24"/>
          <w:szCs w:val="24"/>
        </w:rPr>
        <w:t>nza di infezione da COVID-19</w:t>
      </w:r>
    </w:p>
    <w:p w:rsidR="00624EA1" w:rsidRDefault="00624EA1" w:rsidP="00624EA1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24EA1">
        <w:rPr>
          <w:sz w:val="24"/>
          <w:szCs w:val="24"/>
        </w:rPr>
        <w:t>Ictus acuto come manifestazione di accesso in pazienti successivament</w:t>
      </w:r>
      <w:r>
        <w:rPr>
          <w:sz w:val="24"/>
          <w:szCs w:val="24"/>
        </w:rPr>
        <w:t>e identificati come COVID-19+</w:t>
      </w:r>
    </w:p>
    <w:p w:rsidR="00624EA1" w:rsidRDefault="00624EA1" w:rsidP="00F049A9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24EA1">
        <w:rPr>
          <w:sz w:val="24"/>
          <w:szCs w:val="24"/>
        </w:rPr>
        <w:t>Ictus acuto in paz</w:t>
      </w:r>
      <w:r>
        <w:rPr>
          <w:sz w:val="24"/>
          <w:szCs w:val="24"/>
        </w:rPr>
        <w:t>ienti noti per essere COVID-19+</w:t>
      </w:r>
    </w:p>
    <w:p w:rsidR="00624EA1" w:rsidRDefault="00624EA1" w:rsidP="00624EA1">
      <w:pPr>
        <w:spacing w:before="240" w:after="0"/>
        <w:jc w:val="both"/>
        <w:rPr>
          <w:sz w:val="24"/>
          <w:szCs w:val="24"/>
        </w:rPr>
      </w:pPr>
      <w:r w:rsidRPr="00624EA1">
        <w:rPr>
          <w:sz w:val="24"/>
          <w:szCs w:val="24"/>
        </w:rPr>
        <w:lastRenderedPageBreak/>
        <w:t>Secondo il “Report sulle caratteristiche dei pazienti deceduti positivi a COVID-19 in Italia, dati al 30 marzo 2020”,</w:t>
      </w:r>
      <w:r w:rsidRPr="00624EA1">
        <w:rPr>
          <w:sz w:val="24"/>
          <w:szCs w:val="24"/>
          <w:vertAlign w:val="superscript"/>
        </w:rPr>
        <w:t>3</w:t>
      </w:r>
      <w:r w:rsidRPr="00624EA1">
        <w:rPr>
          <w:sz w:val="24"/>
          <w:szCs w:val="24"/>
        </w:rPr>
        <w:t xml:space="preserve"> </w:t>
      </w:r>
      <w:r w:rsidRPr="00624EA1">
        <w:rPr>
          <w:b/>
          <w:sz w:val="24"/>
          <w:szCs w:val="24"/>
        </w:rPr>
        <w:t>i più importanti fattori di rischio predisponenti all’ictus cerebrale sono gli stessi che troviamo nei pazienti deceduti a seguito dell’infezione</w:t>
      </w:r>
      <w:r w:rsidRPr="00624EA1">
        <w:rPr>
          <w:sz w:val="24"/>
          <w:szCs w:val="24"/>
        </w:rPr>
        <w:t>: ipertensione arteriosa (72,1%), diabete mellito (31,5%), cardiopatia ischemica (27,4%), fibrillazione atriale (22,6%), scompenso cardiaco (16.9%) e pregr</w:t>
      </w:r>
      <w:r>
        <w:rPr>
          <w:sz w:val="24"/>
          <w:szCs w:val="24"/>
        </w:rPr>
        <w:t>esso ictus cerebrale (11,5%).</w:t>
      </w:r>
    </w:p>
    <w:p w:rsidR="00624EA1" w:rsidRPr="00624EA1" w:rsidRDefault="00624EA1" w:rsidP="000274D1">
      <w:pPr>
        <w:spacing w:after="0"/>
        <w:jc w:val="both"/>
        <w:rPr>
          <w:sz w:val="24"/>
          <w:szCs w:val="24"/>
        </w:rPr>
      </w:pPr>
      <w:r w:rsidRPr="00624EA1">
        <w:rPr>
          <w:sz w:val="24"/>
          <w:szCs w:val="24"/>
        </w:rPr>
        <w:t xml:space="preserve">In condizioni normali la diagnosi precoce di ictus e la gestione esperta della fase acuta in ambienti e con percorsi clinici dedicati consente di ridurre notevolmente la mortalità e la disabilità. Questa realtà, oramai consolidata, deve oggi essere aggiornata con le conoscenze e le evidenze disponibili relative alle strategie di contenimento, diagnosi e cura della pandemia di SARS-CoV-2.  </w:t>
      </w:r>
    </w:p>
    <w:p w:rsidR="00624EA1" w:rsidRPr="00624EA1" w:rsidRDefault="00624EA1" w:rsidP="00624EA1">
      <w:pPr>
        <w:spacing w:after="0"/>
        <w:jc w:val="both"/>
        <w:rPr>
          <w:sz w:val="24"/>
          <w:szCs w:val="24"/>
        </w:rPr>
      </w:pPr>
      <w:r w:rsidRPr="00624EA1">
        <w:rPr>
          <w:sz w:val="24"/>
          <w:szCs w:val="24"/>
        </w:rPr>
        <w:t xml:space="preserve"> </w:t>
      </w:r>
    </w:p>
    <w:p w:rsidR="000274D1" w:rsidRDefault="00624EA1" w:rsidP="00624EA1">
      <w:pPr>
        <w:spacing w:after="0"/>
        <w:jc w:val="both"/>
        <w:rPr>
          <w:sz w:val="24"/>
          <w:szCs w:val="24"/>
        </w:rPr>
      </w:pPr>
      <w:r w:rsidRPr="000274D1">
        <w:rPr>
          <w:b/>
          <w:sz w:val="24"/>
          <w:szCs w:val="24"/>
        </w:rPr>
        <w:t xml:space="preserve">Raccomandazione per il team </w:t>
      </w:r>
      <w:proofErr w:type="spellStart"/>
      <w:r w:rsidRPr="000274D1">
        <w:rPr>
          <w:b/>
          <w:sz w:val="24"/>
          <w:szCs w:val="24"/>
        </w:rPr>
        <w:t>neurovascolare</w:t>
      </w:r>
      <w:proofErr w:type="spellEnd"/>
      <w:r w:rsidRPr="000274D1">
        <w:rPr>
          <w:b/>
          <w:sz w:val="24"/>
          <w:szCs w:val="24"/>
        </w:rPr>
        <w:t xml:space="preserve">: per ragioni di sicurezza e per salvaguardare la salute propria e degli altri è necessario mettere in atto tutte le misure di protezione personale disponibili. </w:t>
      </w:r>
      <w:r w:rsidRPr="00624EA1">
        <w:rPr>
          <w:sz w:val="24"/>
          <w:szCs w:val="24"/>
        </w:rPr>
        <w:t>Raccomandiamo quindi di usare le mascherine appropriate, i guanti e altri disposi</w:t>
      </w:r>
      <w:r w:rsidR="000274D1">
        <w:rPr>
          <w:sz w:val="24"/>
          <w:szCs w:val="24"/>
        </w:rPr>
        <w:t xml:space="preserve">tivi di protezione individuale </w:t>
      </w:r>
      <w:r w:rsidRPr="00624EA1">
        <w:rPr>
          <w:sz w:val="24"/>
          <w:szCs w:val="24"/>
        </w:rPr>
        <w:t>secondo il protocollo previsto localmente. Raccomandiamo inoltre di lavare spesso le mani, di utilizzare il gel disinfettante, decontaminare frequentemente superfici tra cui stetoscopio, telefoni cellulari, periferiche d</w:t>
      </w:r>
      <w:r w:rsidR="000274D1">
        <w:rPr>
          <w:sz w:val="24"/>
          <w:szCs w:val="24"/>
        </w:rPr>
        <w:t>i computer e altri dispositivi.</w:t>
      </w:r>
    </w:p>
    <w:p w:rsidR="00624EA1" w:rsidRPr="00624EA1" w:rsidRDefault="00624EA1" w:rsidP="00624EA1">
      <w:pPr>
        <w:spacing w:after="0"/>
        <w:jc w:val="both"/>
        <w:rPr>
          <w:sz w:val="24"/>
          <w:szCs w:val="24"/>
        </w:rPr>
      </w:pPr>
      <w:r w:rsidRPr="00624EA1">
        <w:rPr>
          <w:sz w:val="24"/>
          <w:szCs w:val="24"/>
        </w:rPr>
        <w:t xml:space="preserve">Ciò vale soprattutto per i professionisti del team </w:t>
      </w:r>
      <w:proofErr w:type="spellStart"/>
      <w:r w:rsidRPr="00624EA1">
        <w:rPr>
          <w:sz w:val="24"/>
          <w:szCs w:val="24"/>
        </w:rPr>
        <w:t>neurovascolare</w:t>
      </w:r>
      <w:proofErr w:type="spellEnd"/>
      <w:r w:rsidRPr="00624EA1">
        <w:rPr>
          <w:sz w:val="24"/>
          <w:szCs w:val="24"/>
        </w:rPr>
        <w:t xml:space="preserve"> (neurologi, interventisti </w:t>
      </w:r>
      <w:proofErr w:type="spellStart"/>
      <w:r w:rsidRPr="00624EA1">
        <w:rPr>
          <w:sz w:val="24"/>
          <w:szCs w:val="24"/>
        </w:rPr>
        <w:t>neurovascolari</w:t>
      </w:r>
      <w:proofErr w:type="spellEnd"/>
      <w:r w:rsidRPr="00624EA1">
        <w:rPr>
          <w:sz w:val="24"/>
          <w:szCs w:val="24"/>
        </w:rPr>
        <w:t xml:space="preserve">) che operano nel contesto dell’emergenza-urgenza. Essi possono venire a contatto con pazienti COVID-19 certi o potenziali, con </w:t>
      </w:r>
      <w:proofErr w:type="spellStart"/>
      <w:r w:rsidRPr="00624EA1">
        <w:rPr>
          <w:sz w:val="24"/>
          <w:szCs w:val="24"/>
        </w:rPr>
        <w:t>comorbidità</w:t>
      </w:r>
      <w:proofErr w:type="spellEnd"/>
      <w:r w:rsidRPr="00624EA1">
        <w:rPr>
          <w:sz w:val="24"/>
          <w:szCs w:val="24"/>
        </w:rPr>
        <w:t xml:space="preserve"> neurologiche, rischiando quindi in prima persona di contrarre l’infezione.  </w:t>
      </w:r>
    </w:p>
    <w:p w:rsidR="00624EA1" w:rsidRPr="00624EA1" w:rsidRDefault="00624EA1" w:rsidP="00624EA1">
      <w:pPr>
        <w:spacing w:after="0"/>
        <w:jc w:val="both"/>
        <w:rPr>
          <w:sz w:val="24"/>
          <w:szCs w:val="24"/>
        </w:rPr>
      </w:pPr>
      <w:r w:rsidRPr="00624EA1">
        <w:rPr>
          <w:sz w:val="24"/>
          <w:szCs w:val="24"/>
        </w:rPr>
        <w:t xml:space="preserve"> </w:t>
      </w:r>
    </w:p>
    <w:p w:rsidR="00624EA1" w:rsidRPr="00624EA1" w:rsidRDefault="00624EA1" w:rsidP="00624EA1">
      <w:pPr>
        <w:spacing w:after="0"/>
        <w:jc w:val="both"/>
        <w:rPr>
          <w:sz w:val="24"/>
          <w:szCs w:val="24"/>
        </w:rPr>
      </w:pPr>
      <w:r w:rsidRPr="00624EA1">
        <w:rPr>
          <w:sz w:val="24"/>
          <w:szCs w:val="24"/>
        </w:rPr>
        <w:t>E’ noto che alcune manifestazioni iniziali della infezione COVID-19 riguardano confusione mentale, cefalea, disturbi di olfatto e gusto. In questo quadro clinico è previsto il coinvolgimento iniziale del neurologo, se il paziente non sembra inizialmente affetto da patologie respiratorie. Tuttavia questi quad</w:t>
      </w:r>
      <w:r w:rsidR="000274D1">
        <w:rPr>
          <w:sz w:val="24"/>
          <w:szCs w:val="24"/>
        </w:rPr>
        <w:t xml:space="preserve">ri sintomatologici </w:t>
      </w:r>
      <w:r w:rsidRPr="00624EA1">
        <w:rPr>
          <w:sz w:val="24"/>
          <w:szCs w:val="24"/>
        </w:rPr>
        <w:t>devono indurre ad una approfondita anamnesi ed in caso di possibili manifestazioni respiratorie connesse e/o di febbre è necessario che il paziente sia segnalato dal neurolo</w:t>
      </w:r>
      <w:r w:rsidR="000274D1">
        <w:rPr>
          <w:sz w:val="24"/>
          <w:szCs w:val="24"/>
        </w:rPr>
        <w:t>go all’infettivologo per quanto di competenza.</w:t>
      </w:r>
      <w:r w:rsidRPr="00624EA1">
        <w:rPr>
          <w:sz w:val="24"/>
          <w:szCs w:val="24"/>
        </w:rPr>
        <w:t xml:space="preserve"> </w:t>
      </w:r>
    </w:p>
    <w:p w:rsidR="000274D1" w:rsidRDefault="000274D1" w:rsidP="000274D1">
      <w:pPr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Obiettivi del documento:</w:t>
      </w:r>
    </w:p>
    <w:p w:rsidR="000274D1" w:rsidRDefault="000274D1" w:rsidP="000274D1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624EA1" w:rsidRPr="000274D1">
        <w:rPr>
          <w:sz w:val="24"/>
          <w:szCs w:val="24"/>
        </w:rPr>
        <w:t>ntegrare, non sostituire, le linee guida per la gestione dei pazienti con ictus e i PDTA dedicati regionali e aziendali in risposta alle necessità legate al contingente scen</w:t>
      </w:r>
      <w:r>
        <w:rPr>
          <w:sz w:val="24"/>
          <w:szCs w:val="24"/>
        </w:rPr>
        <w:t>ario epidemiologico;</w:t>
      </w:r>
    </w:p>
    <w:p w:rsidR="000274D1" w:rsidRDefault="000274D1" w:rsidP="000274D1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24EA1" w:rsidRPr="000274D1">
        <w:rPr>
          <w:sz w:val="24"/>
          <w:szCs w:val="24"/>
        </w:rPr>
        <w:t>dattare la gestione del paziente con ictus al nuovo scenario epidemiologico italiano, ottimizzando la capacità di riconoscere infezione COVID-19 latente</w:t>
      </w:r>
      <w:r>
        <w:rPr>
          <w:sz w:val="24"/>
          <w:szCs w:val="24"/>
        </w:rPr>
        <w:t>;</w:t>
      </w:r>
    </w:p>
    <w:p w:rsidR="000274D1" w:rsidRDefault="000274D1" w:rsidP="00CA276B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274D1">
        <w:rPr>
          <w:sz w:val="24"/>
          <w:szCs w:val="24"/>
        </w:rPr>
        <w:t>F</w:t>
      </w:r>
      <w:r w:rsidR="00624EA1" w:rsidRPr="000274D1">
        <w:rPr>
          <w:sz w:val="24"/>
          <w:szCs w:val="24"/>
        </w:rPr>
        <w:t xml:space="preserve">ornire strumenti utili: protocollo aggiornato di valutazione e gestione dei </w:t>
      </w:r>
      <w:r w:rsidRPr="000274D1">
        <w:rPr>
          <w:sz w:val="24"/>
          <w:szCs w:val="24"/>
        </w:rPr>
        <w:t>pazienti con ictus cerebrale.</w:t>
      </w:r>
    </w:p>
    <w:p w:rsidR="00624EA1" w:rsidRPr="000274D1" w:rsidRDefault="000274D1" w:rsidP="000274D1">
      <w:pPr>
        <w:spacing w:before="240" w:after="0"/>
        <w:jc w:val="both"/>
        <w:rPr>
          <w:b/>
          <w:sz w:val="24"/>
          <w:szCs w:val="24"/>
          <w:u w:val="single"/>
        </w:rPr>
      </w:pPr>
      <w:r w:rsidRPr="000274D1">
        <w:rPr>
          <w:b/>
          <w:sz w:val="24"/>
          <w:szCs w:val="24"/>
          <w:u w:val="single"/>
        </w:rPr>
        <w:t>Percorso Ictus-COVID-19</w:t>
      </w:r>
    </w:p>
    <w:p w:rsidR="00624EA1" w:rsidRPr="00624EA1" w:rsidRDefault="00624EA1" w:rsidP="00624EA1">
      <w:pPr>
        <w:spacing w:after="0"/>
        <w:jc w:val="both"/>
        <w:rPr>
          <w:sz w:val="24"/>
          <w:szCs w:val="24"/>
        </w:rPr>
      </w:pPr>
      <w:r w:rsidRPr="00624EA1">
        <w:rPr>
          <w:sz w:val="24"/>
          <w:szCs w:val="24"/>
        </w:rPr>
        <w:t xml:space="preserve">La fonte principale di infezione sono le persone infette da SARS-CoV-2; è stato inoltre osservato che anche i soggetti portatori asintomatici possono diventare fonte di infezione. Le vie di trasmissione principali sono </w:t>
      </w:r>
      <w:proofErr w:type="spellStart"/>
      <w:r w:rsidRPr="000274D1">
        <w:rPr>
          <w:i/>
          <w:sz w:val="24"/>
          <w:szCs w:val="24"/>
        </w:rPr>
        <w:t>droplet</w:t>
      </w:r>
      <w:proofErr w:type="spellEnd"/>
      <w:r w:rsidRPr="00624EA1">
        <w:rPr>
          <w:sz w:val="24"/>
          <w:szCs w:val="24"/>
        </w:rPr>
        <w:t xml:space="preserve"> e contatto ravvicinato. È possibile anche la trasmissione </w:t>
      </w:r>
      <w:proofErr w:type="spellStart"/>
      <w:r w:rsidRPr="000274D1">
        <w:rPr>
          <w:i/>
          <w:sz w:val="24"/>
          <w:szCs w:val="24"/>
        </w:rPr>
        <w:t>airborne</w:t>
      </w:r>
      <w:proofErr w:type="spellEnd"/>
      <w:r w:rsidRPr="00624EA1">
        <w:rPr>
          <w:sz w:val="24"/>
          <w:szCs w:val="24"/>
        </w:rPr>
        <w:t>, in caso di esposizione prolungata ad un ambiente chiuso in presenza di virus nell’aria. In base alle attuali evidenze epidemiologiche l’incubazione dura da 1 a 14 giorni, solitamente da 3 a 7 giorni. L’infezione decorre in maniera paucisintomatica in una elevata percentuale di soggetti</w:t>
      </w:r>
      <w:r w:rsidRPr="000274D1">
        <w:rPr>
          <w:sz w:val="24"/>
          <w:szCs w:val="24"/>
          <w:vertAlign w:val="superscript"/>
        </w:rPr>
        <w:t>4</w:t>
      </w:r>
      <w:r w:rsidRPr="00624EA1">
        <w:rPr>
          <w:sz w:val="24"/>
          <w:szCs w:val="24"/>
        </w:rPr>
        <w:t>, per cui circa l'80% dei pazienti infetti presenta sintomi lievi e guarisce senza interventi medici intensivi</w:t>
      </w:r>
      <w:r w:rsidR="000274D1" w:rsidRPr="000274D1">
        <w:rPr>
          <w:sz w:val="24"/>
          <w:szCs w:val="24"/>
          <w:vertAlign w:val="superscript"/>
        </w:rPr>
        <w:t>4</w:t>
      </w:r>
      <w:r w:rsidRPr="00624EA1">
        <w:rPr>
          <w:sz w:val="24"/>
          <w:szCs w:val="24"/>
        </w:rPr>
        <w:t xml:space="preserve">. Tuttavia, la morbilità e la mortalità aumentano in modo significativo con l'età, arrivando all'8,0% tra i pazienti </w:t>
      </w:r>
      <w:r w:rsidRPr="00624EA1">
        <w:rPr>
          <w:sz w:val="24"/>
          <w:szCs w:val="24"/>
        </w:rPr>
        <w:lastRenderedPageBreak/>
        <w:t>di età compresa tra 70 e 79 anni e al 14,8% nei pazienti di età superiore a 80 anni ne</w:t>
      </w:r>
      <w:r w:rsidR="000274D1">
        <w:rPr>
          <w:sz w:val="24"/>
          <w:szCs w:val="24"/>
        </w:rPr>
        <w:t xml:space="preserve">lle serie dei pazienti cinesi. </w:t>
      </w:r>
      <w:r w:rsidRPr="00624EA1">
        <w:rPr>
          <w:sz w:val="24"/>
          <w:szCs w:val="24"/>
        </w:rPr>
        <w:t>Nella popolazione italiana, benché i dati siano ancora non omogenei data la condizio</w:t>
      </w:r>
      <w:r w:rsidR="000274D1">
        <w:rPr>
          <w:sz w:val="24"/>
          <w:szCs w:val="24"/>
        </w:rPr>
        <w:t>ne ancora in corso, la letalità</w:t>
      </w:r>
      <w:r w:rsidRPr="00624EA1">
        <w:rPr>
          <w:sz w:val="24"/>
          <w:szCs w:val="24"/>
        </w:rPr>
        <w:t xml:space="preserve"> (decessi/malati) sul totale dei pazienti è del 5,8% ed aumenta in maniera marcata dopo i 70 anni: 2,7% nella fascia di età 60-69, 9,6% nella fascia 70-79 anni, 16,6% nella fascia 80-89 anni, 19% nella fascia di età 90 anni e oltre</w:t>
      </w:r>
      <w:r w:rsidRPr="000274D1">
        <w:rPr>
          <w:sz w:val="24"/>
          <w:szCs w:val="24"/>
          <w:vertAlign w:val="superscript"/>
        </w:rPr>
        <w:t>3</w:t>
      </w:r>
      <w:r w:rsidRPr="00624EA1">
        <w:rPr>
          <w:sz w:val="24"/>
          <w:szCs w:val="24"/>
        </w:rPr>
        <w:t xml:space="preserve">.   </w:t>
      </w:r>
    </w:p>
    <w:p w:rsidR="00624EA1" w:rsidRPr="00624EA1" w:rsidRDefault="00624EA1" w:rsidP="00624EA1">
      <w:pPr>
        <w:spacing w:after="0"/>
        <w:jc w:val="both"/>
        <w:rPr>
          <w:sz w:val="24"/>
          <w:szCs w:val="24"/>
        </w:rPr>
      </w:pPr>
      <w:r w:rsidRPr="00624EA1">
        <w:rPr>
          <w:sz w:val="24"/>
          <w:szCs w:val="24"/>
        </w:rPr>
        <w:t xml:space="preserve"> </w:t>
      </w:r>
    </w:p>
    <w:p w:rsidR="000274D1" w:rsidRDefault="00624EA1" w:rsidP="00624EA1">
      <w:pPr>
        <w:spacing w:after="0"/>
        <w:jc w:val="both"/>
        <w:rPr>
          <w:b/>
          <w:sz w:val="24"/>
          <w:szCs w:val="24"/>
        </w:rPr>
      </w:pPr>
      <w:r w:rsidRPr="000274D1">
        <w:rPr>
          <w:b/>
          <w:sz w:val="24"/>
          <w:szCs w:val="24"/>
        </w:rPr>
        <w:t>E’ estremamente importante individuare casi sospetti, possibili e probabili</w:t>
      </w:r>
      <w:r w:rsidRPr="000274D1">
        <w:rPr>
          <w:b/>
          <w:sz w:val="24"/>
          <w:szCs w:val="24"/>
          <w:vertAlign w:val="superscript"/>
        </w:rPr>
        <w:t>5</w:t>
      </w:r>
      <w:r w:rsidRPr="000274D1">
        <w:rPr>
          <w:b/>
          <w:sz w:val="24"/>
          <w:szCs w:val="24"/>
        </w:rPr>
        <w:t xml:space="preserve"> di COVID-19 al fine di poter</w:t>
      </w:r>
      <w:r w:rsidR="000274D1" w:rsidRPr="000274D1">
        <w:rPr>
          <w:b/>
          <w:sz w:val="24"/>
          <w:szCs w:val="24"/>
        </w:rPr>
        <w:t xml:space="preserve"> accertare o meno la </w:t>
      </w:r>
      <w:proofErr w:type="spellStart"/>
      <w:r w:rsidR="000274D1" w:rsidRPr="000274D1">
        <w:rPr>
          <w:b/>
          <w:sz w:val="24"/>
          <w:szCs w:val="24"/>
        </w:rPr>
        <w:t>comorbidità</w:t>
      </w:r>
      <w:proofErr w:type="spellEnd"/>
      <w:r w:rsidRPr="000274D1">
        <w:rPr>
          <w:b/>
          <w:sz w:val="24"/>
          <w:szCs w:val="24"/>
        </w:rPr>
        <w:t xml:space="preserve"> infettiva anche nella popolazione dei pazienti con ictus cerebrale acuto. Per questa ragione proponiamo in questo documento una integrazione alle strategie diagnostiche-terapeutiche dei percor</w:t>
      </w:r>
      <w:r w:rsidR="000274D1">
        <w:rPr>
          <w:b/>
          <w:sz w:val="24"/>
          <w:szCs w:val="24"/>
        </w:rPr>
        <w:t>si per ictus cerebrale acuto.</w:t>
      </w:r>
    </w:p>
    <w:p w:rsidR="000274D1" w:rsidRDefault="00624EA1" w:rsidP="00624EA1">
      <w:pPr>
        <w:spacing w:after="0"/>
        <w:jc w:val="both"/>
        <w:rPr>
          <w:sz w:val="24"/>
          <w:szCs w:val="24"/>
        </w:rPr>
      </w:pPr>
      <w:r w:rsidRPr="000274D1">
        <w:rPr>
          <w:b/>
          <w:sz w:val="24"/>
          <w:szCs w:val="24"/>
        </w:rPr>
        <w:t>I pazienti con forme cliniche severe COVID-19, possono andare incontro a complicanze neurologiche quali: ictus cerebrale, disturbi cerebellari, disturbi della coscienza e patologie muscolo-scheletriche.</w:t>
      </w:r>
    </w:p>
    <w:p w:rsidR="000274D1" w:rsidRDefault="00624EA1" w:rsidP="00624EA1">
      <w:pPr>
        <w:spacing w:after="0"/>
        <w:jc w:val="both"/>
        <w:rPr>
          <w:sz w:val="24"/>
          <w:szCs w:val="24"/>
        </w:rPr>
      </w:pPr>
      <w:r w:rsidRPr="00624EA1">
        <w:rPr>
          <w:sz w:val="24"/>
          <w:szCs w:val="24"/>
        </w:rPr>
        <w:t>Il coinvolgimento del sistema nervoso determina una prognosi sfavorevole. Pertanto, per i pazienti con COVID-19 è necessario valutare possibili segni precoci di coinvolgimento neurologico oltre ai sintomi a carico del sistema respiratorio, al fine di poter mettere in atto t</w:t>
      </w:r>
      <w:r w:rsidR="000274D1">
        <w:rPr>
          <w:sz w:val="24"/>
          <w:szCs w:val="24"/>
        </w:rPr>
        <w:t>erapie ed interventi adeguati.</w:t>
      </w:r>
    </w:p>
    <w:p w:rsidR="000274D1" w:rsidRDefault="000274D1" w:rsidP="00624E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Nei pazienti affetti da COVID-19 </w:t>
      </w:r>
      <w:r w:rsidR="00624EA1" w:rsidRPr="00624EA1">
        <w:rPr>
          <w:sz w:val="24"/>
          <w:szCs w:val="24"/>
        </w:rPr>
        <w:t>in forma severa, e in assistenza rianimatoria, può essere difficile l’identificazione di un conco</w:t>
      </w:r>
      <w:r>
        <w:rPr>
          <w:sz w:val="24"/>
          <w:szCs w:val="24"/>
        </w:rPr>
        <w:t xml:space="preserve">mitante disturbo circolatorio. </w:t>
      </w:r>
      <w:r w:rsidR="00624EA1" w:rsidRPr="00624EA1">
        <w:rPr>
          <w:sz w:val="24"/>
          <w:szCs w:val="24"/>
        </w:rPr>
        <w:t>In questi casi accade spesso di rilevare deficit focali quando l’intervento acuto di</w:t>
      </w:r>
      <w:r>
        <w:rPr>
          <w:sz w:val="24"/>
          <w:szCs w:val="24"/>
        </w:rPr>
        <w:t xml:space="preserve"> rivascolarizzazione cerebrale </w:t>
      </w:r>
      <w:r w:rsidR="00624EA1" w:rsidRPr="00624EA1">
        <w:rPr>
          <w:sz w:val="24"/>
          <w:szCs w:val="24"/>
        </w:rPr>
        <w:t>non è più possibile; a questo punto è senz’altro indicato attuare un pro</w:t>
      </w:r>
      <w:r>
        <w:rPr>
          <w:sz w:val="24"/>
          <w:szCs w:val="24"/>
        </w:rPr>
        <w:t xml:space="preserve">gramma di </w:t>
      </w:r>
      <w:proofErr w:type="spellStart"/>
      <w:r>
        <w:rPr>
          <w:sz w:val="24"/>
          <w:szCs w:val="24"/>
        </w:rPr>
        <w:t>neuroriabilitazione</w:t>
      </w:r>
      <w:proofErr w:type="spellEnd"/>
      <w:r>
        <w:rPr>
          <w:sz w:val="24"/>
          <w:szCs w:val="24"/>
        </w:rPr>
        <w:t>.</w:t>
      </w:r>
    </w:p>
    <w:p w:rsidR="005C4FE9" w:rsidRDefault="000274D1" w:rsidP="000274D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Pr="000274D1">
        <w:rPr>
          <w:b/>
          <w:sz w:val="24"/>
          <w:szCs w:val="24"/>
          <w:u w:val="single"/>
        </w:rPr>
        <w:lastRenderedPageBreak/>
        <w:t>Fasi del percorso e matrice delle responsabilità</w:t>
      </w:r>
    </w:p>
    <w:p w:rsidR="0029286D" w:rsidRDefault="000274D1" w:rsidP="0029286D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0274D1">
        <w:rPr>
          <w:sz w:val="24"/>
          <w:szCs w:val="24"/>
        </w:rPr>
        <w:t>atrice delle responsabilità:</w:t>
      </w:r>
    </w:p>
    <w:tbl>
      <w:tblPr>
        <w:tblW w:w="105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3500"/>
        <w:gridCol w:w="3580"/>
      </w:tblGrid>
      <w:tr w:rsidR="0029286D" w:rsidRPr="0029286D" w:rsidTr="0029286D">
        <w:trPr>
          <w:trHeight w:val="3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6D" w:rsidRPr="0029286D" w:rsidRDefault="0029286D" w:rsidP="00292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928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US" w:eastAsia="it-IT"/>
              </w:rPr>
              <w:t>Fasi</w:t>
            </w:r>
            <w:proofErr w:type="spellEnd"/>
            <w:r w:rsidRPr="002928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US" w:eastAsia="it-IT"/>
              </w:rPr>
              <w:t xml:space="preserve"> </w:t>
            </w:r>
            <w:proofErr w:type="spellStart"/>
            <w:r w:rsidRPr="002928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US" w:eastAsia="it-IT"/>
              </w:rPr>
              <w:t>della</w:t>
            </w:r>
            <w:proofErr w:type="spellEnd"/>
            <w:r w:rsidRPr="002928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US" w:eastAsia="it-IT"/>
              </w:rPr>
              <w:t xml:space="preserve"> Catena di </w:t>
            </w:r>
            <w:proofErr w:type="spellStart"/>
            <w:r w:rsidRPr="002928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US" w:eastAsia="it-IT"/>
              </w:rPr>
              <w:t>Soccorso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6D" w:rsidRPr="0029286D" w:rsidRDefault="0029286D" w:rsidP="00292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928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US" w:eastAsia="it-IT"/>
              </w:rPr>
              <w:t>Azioni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6D" w:rsidRPr="0029286D" w:rsidRDefault="0029286D" w:rsidP="00292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928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US" w:eastAsia="it-IT"/>
              </w:rPr>
              <w:t>Esecutore</w:t>
            </w:r>
            <w:proofErr w:type="spellEnd"/>
          </w:p>
        </w:tc>
      </w:tr>
      <w:tr w:rsidR="0029286D" w:rsidRPr="0029286D" w:rsidTr="0029286D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6D" w:rsidRPr="0029286D" w:rsidRDefault="0029286D" w:rsidP="0029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9286D">
              <w:rPr>
                <w:rFonts w:ascii="Calibri" w:eastAsia="Times New Roman" w:hAnsi="Calibri" w:cs="Calibri"/>
                <w:color w:val="000000"/>
                <w:sz w:val="24"/>
                <w:lang w:val="en-US" w:eastAsia="it-IT"/>
              </w:rPr>
              <w:t>Richiesta</w:t>
            </w:r>
            <w:proofErr w:type="spellEnd"/>
            <w:r w:rsidRPr="0029286D">
              <w:rPr>
                <w:rFonts w:ascii="Calibri" w:eastAsia="Times New Roman" w:hAnsi="Calibri" w:cs="Calibri"/>
                <w:color w:val="000000"/>
                <w:sz w:val="24"/>
                <w:lang w:val="en-US" w:eastAsia="it-IT"/>
              </w:rPr>
              <w:t xml:space="preserve"> di </w:t>
            </w:r>
            <w:proofErr w:type="spellStart"/>
            <w:r w:rsidRPr="0029286D">
              <w:rPr>
                <w:rFonts w:ascii="Calibri" w:eastAsia="Times New Roman" w:hAnsi="Calibri" w:cs="Calibri"/>
                <w:color w:val="000000"/>
                <w:sz w:val="24"/>
                <w:lang w:val="en-US" w:eastAsia="it-IT"/>
              </w:rPr>
              <w:t>soccorso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6D" w:rsidRPr="0029286D" w:rsidRDefault="0029286D" w:rsidP="0029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Questionario Telefonico 118</w:t>
            </w:r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Riconoscere ictus cerebrale</w:t>
            </w:r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individuare pazienti a rischio COVID-19</w:t>
            </w:r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invio mezzo 118 adeguato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6D" w:rsidRPr="0029286D" w:rsidRDefault="0029286D" w:rsidP="0029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Centrale Operativa 118</w:t>
            </w:r>
          </w:p>
        </w:tc>
      </w:tr>
      <w:tr w:rsidR="0029286D" w:rsidRPr="0029286D" w:rsidTr="0029286D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6D" w:rsidRPr="0029286D" w:rsidRDefault="0029286D" w:rsidP="0029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Pre</w:t>
            </w:r>
            <w:proofErr w:type="spellEnd"/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-triage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6D" w:rsidRPr="0029286D" w:rsidRDefault="0029286D" w:rsidP="0029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Riconoscere ictus cerebrale (FAST)</w:t>
            </w:r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Individuare pazienti a rischio COVID-19</w:t>
            </w:r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Attivare percorso ictus COVID-19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6D" w:rsidRPr="0029286D" w:rsidRDefault="0029286D" w:rsidP="0029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9286D">
              <w:rPr>
                <w:rFonts w:ascii="Calibri" w:eastAsia="Times New Roman" w:hAnsi="Calibri" w:cs="Calibri"/>
                <w:color w:val="000000"/>
                <w:sz w:val="24"/>
                <w:lang w:val="en-US" w:eastAsia="it-IT"/>
              </w:rPr>
              <w:t xml:space="preserve"> </w:t>
            </w:r>
            <w:proofErr w:type="spellStart"/>
            <w:r w:rsidRPr="0029286D">
              <w:rPr>
                <w:rFonts w:ascii="Calibri" w:eastAsia="Times New Roman" w:hAnsi="Calibri" w:cs="Calibri"/>
                <w:color w:val="000000"/>
                <w:sz w:val="24"/>
                <w:lang w:val="en-US" w:eastAsia="it-IT"/>
              </w:rPr>
              <w:t>Infermiere</w:t>
            </w:r>
            <w:proofErr w:type="spellEnd"/>
            <w:r w:rsidRPr="0029286D">
              <w:rPr>
                <w:rFonts w:ascii="Calibri" w:eastAsia="Times New Roman" w:hAnsi="Calibri" w:cs="Calibri"/>
                <w:color w:val="000000"/>
                <w:sz w:val="24"/>
                <w:lang w:val="en-US" w:eastAsia="it-IT"/>
              </w:rPr>
              <w:t xml:space="preserve"> di triage</w:t>
            </w:r>
          </w:p>
        </w:tc>
      </w:tr>
      <w:tr w:rsidR="0029286D" w:rsidRPr="0029286D" w:rsidTr="0029286D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6D" w:rsidRPr="0029286D" w:rsidRDefault="0029286D" w:rsidP="0029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Triage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6D" w:rsidRPr="0029286D" w:rsidRDefault="0029286D" w:rsidP="0029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Riconoscere ictus cerebrale (FAST)</w:t>
            </w:r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Attivare percorso ictus COVID-19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6D" w:rsidRPr="0029286D" w:rsidRDefault="0029286D" w:rsidP="0029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9286D">
              <w:rPr>
                <w:rFonts w:ascii="Calibri" w:eastAsia="Times New Roman" w:hAnsi="Calibri" w:cs="Calibri"/>
                <w:color w:val="000000"/>
                <w:sz w:val="24"/>
                <w:lang w:val="en-US" w:eastAsia="it-IT"/>
              </w:rPr>
              <w:t xml:space="preserve"> </w:t>
            </w:r>
            <w:proofErr w:type="spellStart"/>
            <w:r w:rsidRPr="0029286D">
              <w:rPr>
                <w:rFonts w:ascii="Calibri" w:eastAsia="Times New Roman" w:hAnsi="Calibri" w:cs="Calibri"/>
                <w:color w:val="000000"/>
                <w:sz w:val="24"/>
                <w:lang w:val="en-US" w:eastAsia="it-IT"/>
              </w:rPr>
              <w:t>Infermiere</w:t>
            </w:r>
            <w:proofErr w:type="spellEnd"/>
            <w:r w:rsidRPr="0029286D">
              <w:rPr>
                <w:rFonts w:ascii="Calibri" w:eastAsia="Times New Roman" w:hAnsi="Calibri" w:cs="Calibri"/>
                <w:color w:val="000000"/>
                <w:sz w:val="24"/>
                <w:lang w:val="en-US" w:eastAsia="it-IT"/>
              </w:rPr>
              <w:t xml:space="preserve"> di triage</w:t>
            </w:r>
          </w:p>
        </w:tc>
      </w:tr>
      <w:tr w:rsidR="0029286D" w:rsidRPr="0029286D" w:rsidTr="0029286D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6D" w:rsidRPr="0029286D" w:rsidRDefault="0029286D" w:rsidP="0029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PS/DEA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6D" w:rsidRPr="0029286D" w:rsidRDefault="0029286D" w:rsidP="0029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Esecuzione percorso appropriato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6D" w:rsidRPr="0029286D" w:rsidRDefault="0029286D" w:rsidP="0029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Neurologo vascolare</w:t>
            </w:r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Medico PS/DEA</w:t>
            </w:r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</w:r>
            <w:proofErr w:type="spellStart"/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Referenta</w:t>
            </w:r>
            <w:proofErr w:type="spellEnd"/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COVID-19</w:t>
            </w:r>
          </w:p>
        </w:tc>
      </w:tr>
      <w:tr w:rsidR="0029286D" w:rsidRPr="0029286D" w:rsidTr="0029286D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6D" w:rsidRPr="0029286D" w:rsidRDefault="0029286D" w:rsidP="0029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Unità </w:t>
            </w:r>
            <w:proofErr w:type="spellStart"/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Neurovascolare</w:t>
            </w:r>
            <w:proofErr w:type="spellEnd"/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/Neurologia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6D" w:rsidRPr="0029286D" w:rsidRDefault="0029286D" w:rsidP="0029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Ricovero in ambiente dedicato con monitoraggio di parametri clinico/strumentali specifici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6D" w:rsidRPr="0029286D" w:rsidRDefault="0029286D" w:rsidP="0029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Neurologo vascolare</w:t>
            </w:r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 xml:space="preserve">Infermiere unità </w:t>
            </w:r>
            <w:proofErr w:type="spellStart"/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neurovascolare</w:t>
            </w:r>
            <w:proofErr w:type="spellEnd"/>
          </w:p>
        </w:tc>
      </w:tr>
      <w:tr w:rsidR="0029286D" w:rsidRPr="0029286D" w:rsidTr="0029286D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6D" w:rsidRPr="0029286D" w:rsidRDefault="0029286D" w:rsidP="0029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9286D">
              <w:rPr>
                <w:rFonts w:ascii="Calibri" w:eastAsia="Times New Roman" w:hAnsi="Calibri" w:cs="Calibri"/>
                <w:color w:val="000000"/>
                <w:sz w:val="24"/>
                <w:lang w:val="en-US" w:eastAsia="it-IT"/>
              </w:rPr>
              <w:t>Terapia</w:t>
            </w:r>
            <w:proofErr w:type="spellEnd"/>
            <w:r w:rsidRPr="0029286D">
              <w:rPr>
                <w:rFonts w:ascii="Calibri" w:eastAsia="Times New Roman" w:hAnsi="Calibri" w:cs="Calibri"/>
                <w:color w:val="000000"/>
                <w:sz w:val="24"/>
                <w:lang w:val="en-US" w:eastAsia="it-IT"/>
              </w:rPr>
              <w:t xml:space="preserve"> </w:t>
            </w:r>
            <w:proofErr w:type="spellStart"/>
            <w:r w:rsidRPr="0029286D">
              <w:rPr>
                <w:rFonts w:ascii="Calibri" w:eastAsia="Times New Roman" w:hAnsi="Calibri" w:cs="Calibri"/>
                <w:color w:val="000000"/>
                <w:sz w:val="24"/>
                <w:lang w:val="en-US" w:eastAsia="it-IT"/>
              </w:rPr>
              <w:t>Intensiva</w:t>
            </w:r>
            <w:proofErr w:type="spellEnd"/>
            <w:r w:rsidRPr="0029286D">
              <w:rPr>
                <w:rFonts w:ascii="Calibri" w:eastAsia="Times New Roman" w:hAnsi="Calibri" w:cs="Calibri"/>
                <w:color w:val="000000"/>
                <w:sz w:val="24"/>
                <w:lang w:val="en-US" w:eastAsia="it-IT"/>
              </w:rPr>
              <w:t xml:space="preserve"> COVID-19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6D" w:rsidRPr="0029286D" w:rsidRDefault="0029286D" w:rsidP="0029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Sorveglianza possibili complicanze neurologiche e </w:t>
            </w:r>
            <w:proofErr w:type="spellStart"/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neurovascolari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6D" w:rsidRPr="0029286D" w:rsidRDefault="0029286D" w:rsidP="0029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92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Neurologo vascolare rianimatore</w:t>
            </w:r>
          </w:p>
        </w:tc>
      </w:tr>
    </w:tbl>
    <w:p w:rsidR="00D325D8" w:rsidRDefault="00D325D8">
      <w:pPr>
        <w:rPr>
          <w:b/>
          <w:sz w:val="24"/>
          <w:szCs w:val="24"/>
        </w:rPr>
      </w:pPr>
    </w:p>
    <w:p w:rsidR="000274D1" w:rsidRDefault="00D325D8" w:rsidP="00D325D8">
      <w:pPr>
        <w:pStyle w:val="Paragrafoelenco"/>
        <w:numPr>
          <w:ilvl w:val="0"/>
          <w:numId w:val="7"/>
        </w:numPr>
        <w:spacing w:before="240"/>
        <w:rPr>
          <w:b/>
          <w:sz w:val="24"/>
          <w:szCs w:val="24"/>
        </w:rPr>
      </w:pPr>
      <w:r w:rsidRPr="00D325D8">
        <w:rPr>
          <w:b/>
          <w:sz w:val="24"/>
          <w:szCs w:val="24"/>
        </w:rPr>
        <w:t>Richiesta di Soccorso</w:t>
      </w:r>
    </w:p>
    <w:p w:rsidR="00D325D8" w:rsidRDefault="00D325D8" w:rsidP="00D325D8">
      <w:pPr>
        <w:spacing w:before="240"/>
        <w:ind w:left="410"/>
        <w:jc w:val="both"/>
        <w:rPr>
          <w:b/>
          <w:sz w:val="24"/>
          <w:szCs w:val="24"/>
        </w:rPr>
      </w:pPr>
      <w:r w:rsidRPr="00D325D8">
        <w:rPr>
          <w:b/>
          <w:sz w:val="24"/>
          <w:szCs w:val="24"/>
        </w:rPr>
        <w:t xml:space="preserve">Raccomandiamo alla popolazione di non trascurare la prevenzione delle malattie </w:t>
      </w:r>
      <w:r>
        <w:rPr>
          <w:b/>
          <w:sz w:val="24"/>
          <w:szCs w:val="24"/>
        </w:rPr>
        <w:t xml:space="preserve">cerebrovascolari, e ricordiamo </w:t>
      </w:r>
      <w:r w:rsidRPr="00D325D8">
        <w:rPr>
          <w:b/>
          <w:sz w:val="24"/>
          <w:szCs w:val="24"/>
        </w:rPr>
        <w:t>che chi riconosce i sintomi di un ictus non deve aspettare per chiamare il 112, poiché le cure immediate sono fondamentali</w:t>
      </w:r>
      <w:r w:rsidRPr="00D325D8">
        <w:rPr>
          <w:b/>
          <w:sz w:val="24"/>
          <w:szCs w:val="24"/>
          <w:vertAlign w:val="superscript"/>
        </w:rPr>
        <w:t>6</w:t>
      </w:r>
      <w:r w:rsidRPr="00D325D8">
        <w:rPr>
          <w:b/>
          <w:sz w:val="24"/>
          <w:szCs w:val="24"/>
        </w:rPr>
        <w:t>.</w:t>
      </w:r>
    </w:p>
    <w:p w:rsidR="00D325D8" w:rsidRDefault="00D325D8" w:rsidP="00D325D8">
      <w:pPr>
        <w:spacing w:after="0"/>
        <w:ind w:left="410"/>
        <w:jc w:val="both"/>
        <w:rPr>
          <w:sz w:val="24"/>
          <w:szCs w:val="24"/>
        </w:rPr>
      </w:pPr>
      <w:r w:rsidRPr="00D325D8">
        <w:rPr>
          <w:sz w:val="24"/>
          <w:szCs w:val="24"/>
        </w:rPr>
        <w:t>Il sistema dell’emergenza dovrebbe essere in grado di individuare i pazienti con potenziale patologia COVID-19 e sintomi neurologici ed indirizzarli in centri adeguatamente attrezzati. Per questa ragione oltre alla somministrazione telefonica della scala FAST suggeriamo che venga chiesta se è presente febbre e/o dispnea, tosse, difficoltà respiratorie o eventuali contatti a rischio.</w:t>
      </w:r>
    </w:p>
    <w:p w:rsidR="00ED2270" w:rsidRPr="00D325D8" w:rsidRDefault="00ED2270" w:rsidP="00D325D8">
      <w:pPr>
        <w:spacing w:after="0"/>
        <w:ind w:left="410"/>
        <w:jc w:val="both"/>
        <w:rPr>
          <w:sz w:val="24"/>
          <w:szCs w:val="24"/>
        </w:rPr>
      </w:pPr>
    </w:p>
    <w:p w:rsidR="00D325D8" w:rsidRDefault="00D325D8" w:rsidP="00D325D8">
      <w:pPr>
        <w:pStyle w:val="Paragrafoelenco"/>
        <w:numPr>
          <w:ilvl w:val="0"/>
          <w:numId w:val="7"/>
        </w:num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</w:t>
      </w:r>
      <w:proofErr w:type="spellEnd"/>
      <w:r>
        <w:rPr>
          <w:b/>
          <w:sz w:val="24"/>
          <w:szCs w:val="24"/>
        </w:rPr>
        <w:t>-Triage</w:t>
      </w:r>
    </w:p>
    <w:p w:rsidR="00D325D8" w:rsidRDefault="00D325D8" w:rsidP="00D325D8">
      <w:pPr>
        <w:spacing w:after="0"/>
        <w:ind w:left="410"/>
        <w:rPr>
          <w:sz w:val="24"/>
          <w:szCs w:val="24"/>
        </w:rPr>
      </w:pPr>
      <w:r w:rsidRPr="00D325D8">
        <w:rPr>
          <w:sz w:val="24"/>
          <w:szCs w:val="24"/>
        </w:rPr>
        <w:t xml:space="preserve">Il paziente può giungere </w:t>
      </w:r>
      <w:r>
        <w:rPr>
          <w:sz w:val="24"/>
          <w:szCs w:val="24"/>
        </w:rPr>
        <w:t>in PS attraverso due modalità:</w:t>
      </w:r>
    </w:p>
    <w:p w:rsidR="00D325D8" w:rsidRDefault="00D325D8" w:rsidP="00D325D8">
      <w:pPr>
        <w:pStyle w:val="Paragrafoelenco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D325D8">
        <w:rPr>
          <w:sz w:val="24"/>
          <w:szCs w:val="24"/>
        </w:rPr>
        <w:t>uto</w:t>
      </w:r>
      <w:r w:rsidR="00ED2270">
        <w:rPr>
          <w:sz w:val="24"/>
          <w:szCs w:val="24"/>
        </w:rPr>
        <w:t>-</w:t>
      </w:r>
      <w:r w:rsidRPr="00D325D8">
        <w:rPr>
          <w:sz w:val="24"/>
          <w:szCs w:val="24"/>
        </w:rPr>
        <w:t xml:space="preserve">presentazione (per </w:t>
      </w:r>
      <w:r>
        <w:rPr>
          <w:sz w:val="24"/>
          <w:szCs w:val="24"/>
        </w:rPr>
        <w:t>quanto fortemente sconsigliata)</w:t>
      </w:r>
    </w:p>
    <w:p w:rsidR="00D325D8" w:rsidRPr="00D325D8" w:rsidRDefault="00D325D8" w:rsidP="00D325D8">
      <w:pPr>
        <w:pStyle w:val="Paragrafoelenco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Ambulanza del 118</w:t>
      </w:r>
    </w:p>
    <w:p w:rsidR="00D325D8" w:rsidRDefault="00D325D8" w:rsidP="00D325D8">
      <w:pPr>
        <w:spacing w:before="240" w:after="0"/>
        <w:ind w:left="410"/>
        <w:jc w:val="both"/>
        <w:rPr>
          <w:sz w:val="24"/>
          <w:szCs w:val="24"/>
        </w:rPr>
      </w:pPr>
      <w:r w:rsidRPr="00D325D8">
        <w:rPr>
          <w:sz w:val="24"/>
          <w:szCs w:val="24"/>
        </w:rPr>
        <w:lastRenderedPageBreak/>
        <w:t xml:space="preserve">Tutti i pazienti che giungono in PS devono essere sottoposti a screening per il COVID-19 nell’area del così detto </w:t>
      </w:r>
      <w:proofErr w:type="spellStart"/>
      <w:r w:rsidRPr="00D325D8">
        <w:rPr>
          <w:sz w:val="24"/>
          <w:szCs w:val="24"/>
        </w:rPr>
        <w:t>pre</w:t>
      </w:r>
      <w:proofErr w:type="spellEnd"/>
      <w:r w:rsidRPr="00D325D8">
        <w:rPr>
          <w:sz w:val="24"/>
          <w:szCs w:val="24"/>
        </w:rPr>
        <w:t xml:space="preserve">-triage. Esistono già protocolli per individuazione di “caso sospetto” in </w:t>
      </w:r>
      <w:proofErr w:type="spellStart"/>
      <w:r w:rsidRPr="00D325D8">
        <w:rPr>
          <w:sz w:val="24"/>
          <w:szCs w:val="24"/>
        </w:rPr>
        <w:t>conformita</w:t>
      </w:r>
      <w:proofErr w:type="spellEnd"/>
      <w:r w:rsidRPr="00D325D8">
        <w:rPr>
          <w:sz w:val="24"/>
          <w:szCs w:val="24"/>
        </w:rPr>
        <w:t>̀ con le ordinanze ministeriali</w:t>
      </w:r>
      <w:r w:rsidRPr="00D325D8">
        <w:rPr>
          <w:sz w:val="24"/>
          <w:szCs w:val="24"/>
          <w:vertAlign w:val="superscript"/>
        </w:rPr>
        <w:t>5</w:t>
      </w:r>
      <w:r w:rsidRPr="00D325D8">
        <w:rPr>
          <w:sz w:val="24"/>
          <w:szCs w:val="24"/>
        </w:rPr>
        <w:t xml:space="preserve"> in particolare in relazione alla nuova definizione di “caso sospetto di COVID-19”. Viene sottoposto ai pazienti, o agli accompagnatori se i pazienti non sono in grado di comunicare, un questionario per rilevare se sono stati esposti a contatti a rischio o meno, se nei 15 giorni precedenti hanno avuto febbre e/o sintomi respiratori (dispnea, tosse, raffreddore, mal di gola) o altri </w:t>
      </w:r>
      <w:r>
        <w:rPr>
          <w:sz w:val="24"/>
          <w:szCs w:val="24"/>
        </w:rPr>
        <w:t>sintomi quali mialgie, cefalea,</w:t>
      </w:r>
      <w:r w:rsidRPr="00D325D8">
        <w:t xml:space="preserve"> </w:t>
      </w:r>
      <w:r w:rsidRPr="00D325D8">
        <w:rPr>
          <w:sz w:val="24"/>
          <w:szCs w:val="24"/>
        </w:rPr>
        <w:t xml:space="preserve">astenia, malessere, anoressia, diarrea, calo ponderale; oltre al questionario nel </w:t>
      </w:r>
      <w:proofErr w:type="spellStart"/>
      <w:r w:rsidRPr="00D325D8"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>-</w:t>
      </w:r>
      <w:r w:rsidRPr="00D325D8">
        <w:rPr>
          <w:sz w:val="24"/>
          <w:szCs w:val="24"/>
        </w:rPr>
        <w:t xml:space="preserve">triage devono essere rilevate </w:t>
      </w:r>
      <w:r w:rsidRPr="00D325D8">
        <w:rPr>
          <w:b/>
          <w:sz w:val="24"/>
          <w:szCs w:val="24"/>
        </w:rPr>
        <w:t xml:space="preserve">temperatura corporea e </w:t>
      </w:r>
      <w:proofErr w:type="spellStart"/>
      <w:r w:rsidRPr="00D325D8">
        <w:rPr>
          <w:b/>
          <w:sz w:val="24"/>
          <w:szCs w:val="24"/>
        </w:rPr>
        <w:t>ossimetria</w:t>
      </w:r>
      <w:proofErr w:type="spellEnd"/>
      <w:r w:rsidRPr="00D325D8">
        <w:rPr>
          <w:sz w:val="24"/>
          <w:szCs w:val="24"/>
        </w:rPr>
        <w:t>. In questa fase è probabile che venga anche identificato un paziente con possibile ictus cerebr</w:t>
      </w:r>
      <w:r>
        <w:rPr>
          <w:sz w:val="24"/>
          <w:szCs w:val="24"/>
        </w:rPr>
        <w:t xml:space="preserve">ale (scala FAST). Ad ogni modo </w:t>
      </w:r>
      <w:r w:rsidRPr="00D325D8">
        <w:rPr>
          <w:sz w:val="24"/>
          <w:szCs w:val="24"/>
        </w:rPr>
        <w:t>è prudente fare indossare a tutti i pazienti la mascherina chirurgica e se possibile lavare le mani con   gel disinfettante e fare indossare guanti non sterili.</w:t>
      </w:r>
    </w:p>
    <w:p w:rsidR="00D325D8" w:rsidRPr="00ED2270" w:rsidRDefault="00D325D8" w:rsidP="00D325D8">
      <w:pPr>
        <w:spacing w:before="240" w:after="0"/>
        <w:ind w:left="410"/>
        <w:jc w:val="both"/>
        <w:rPr>
          <w:b/>
          <w:sz w:val="24"/>
          <w:szCs w:val="24"/>
        </w:rPr>
      </w:pPr>
      <w:r w:rsidRPr="00ED2270">
        <w:rPr>
          <w:b/>
          <w:sz w:val="24"/>
          <w:szCs w:val="24"/>
        </w:rPr>
        <w:t xml:space="preserve">In caso di paziente sospetto </w:t>
      </w:r>
      <w:proofErr w:type="spellStart"/>
      <w:r w:rsidRPr="00ED2270">
        <w:rPr>
          <w:b/>
          <w:sz w:val="24"/>
          <w:szCs w:val="24"/>
        </w:rPr>
        <w:t>CoVID</w:t>
      </w:r>
      <w:proofErr w:type="spellEnd"/>
      <w:r w:rsidRPr="00ED2270">
        <w:rPr>
          <w:b/>
          <w:sz w:val="24"/>
          <w:szCs w:val="24"/>
        </w:rPr>
        <w:t xml:space="preserve"> sarà eseguito tampone nasale e oro-faringeo. Sono presenti diverse tipologie di test con differenti tempistiche per l’esito e di affidabilità. Il Test rapido è consigliabile nei casi di patologia tempo-dipendente.  </w:t>
      </w:r>
    </w:p>
    <w:p w:rsidR="00D325D8" w:rsidRPr="00D325D8" w:rsidRDefault="00D325D8" w:rsidP="00D325D8">
      <w:pPr>
        <w:spacing w:after="0"/>
        <w:ind w:left="410"/>
        <w:jc w:val="both"/>
        <w:rPr>
          <w:sz w:val="24"/>
          <w:szCs w:val="24"/>
        </w:rPr>
      </w:pPr>
      <w:r w:rsidRPr="00D325D8">
        <w:rPr>
          <w:sz w:val="24"/>
          <w:szCs w:val="24"/>
        </w:rPr>
        <w:t xml:space="preserve"> </w:t>
      </w:r>
    </w:p>
    <w:p w:rsidR="00D325D8" w:rsidRDefault="00D325D8" w:rsidP="00D325D8">
      <w:pPr>
        <w:spacing w:after="0"/>
        <w:ind w:left="410"/>
        <w:jc w:val="both"/>
        <w:rPr>
          <w:sz w:val="24"/>
          <w:szCs w:val="24"/>
        </w:rPr>
      </w:pPr>
      <w:r w:rsidRPr="00D325D8">
        <w:rPr>
          <w:sz w:val="24"/>
          <w:szCs w:val="24"/>
        </w:rPr>
        <w:t xml:space="preserve">In caso di auto-presentazione di un paziente con ictus in un centro COVID-19, suggeriamo che il paziente inizi il suo percorso (valutazione neurologica e TC cerebrale) ed eventualmente la terapia di rivascolarizzazione farmacologica e sia poi trasferito presso una unità </w:t>
      </w:r>
      <w:proofErr w:type="spellStart"/>
      <w:r w:rsidRPr="00D325D8">
        <w:rPr>
          <w:sz w:val="24"/>
          <w:szCs w:val="24"/>
        </w:rPr>
        <w:t>neurovascolare</w:t>
      </w:r>
      <w:proofErr w:type="spellEnd"/>
      <w:r w:rsidRPr="00D325D8">
        <w:rPr>
          <w:sz w:val="24"/>
          <w:szCs w:val="24"/>
        </w:rPr>
        <w:t xml:space="preserve"> di un ospedale dotato di tutte i requisiti per la terapia </w:t>
      </w:r>
      <w:proofErr w:type="spellStart"/>
      <w:r w:rsidRPr="00D325D8">
        <w:rPr>
          <w:sz w:val="24"/>
          <w:szCs w:val="24"/>
        </w:rPr>
        <w:t>endovascolare</w:t>
      </w:r>
      <w:proofErr w:type="spellEnd"/>
      <w:r w:rsidRPr="00D325D8">
        <w:rPr>
          <w:sz w:val="24"/>
          <w:szCs w:val="24"/>
        </w:rPr>
        <w:t xml:space="preserve"> e/o </w:t>
      </w:r>
      <w:proofErr w:type="spellStart"/>
      <w:r w:rsidRPr="00D325D8">
        <w:rPr>
          <w:sz w:val="24"/>
          <w:szCs w:val="24"/>
        </w:rPr>
        <w:t>neurorianimatoria</w:t>
      </w:r>
      <w:proofErr w:type="spellEnd"/>
      <w:r w:rsidRPr="00D325D8">
        <w:rPr>
          <w:sz w:val="24"/>
          <w:szCs w:val="24"/>
        </w:rPr>
        <w:t>.</w:t>
      </w:r>
    </w:p>
    <w:p w:rsidR="00ED2270" w:rsidRPr="00D325D8" w:rsidRDefault="00ED2270" w:rsidP="00D325D8">
      <w:pPr>
        <w:spacing w:after="0"/>
        <w:ind w:left="410"/>
        <w:jc w:val="both"/>
        <w:rPr>
          <w:sz w:val="24"/>
          <w:szCs w:val="24"/>
        </w:rPr>
      </w:pPr>
    </w:p>
    <w:p w:rsidR="00D325D8" w:rsidRDefault="00D325D8" w:rsidP="00D325D8">
      <w:pPr>
        <w:pStyle w:val="Paragrafoelenco"/>
        <w:numPr>
          <w:ilvl w:val="0"/>
          <w:numId w:val="7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Triage</w:t>
      </w:r>
    </w:p>
    <w:p w:rsidR="00ED2270" w:rsidRPr="00ED2270" w:rsidRDefault="00ED2270" w:rsidP="00ED2270">
      <w:pPr>
        <w:spacing w:before="240"/>
        <w:ind w:left="410"/>
        <w:jc w:val="both"/>
        <w:rPr>
          <w:sz w:val="24"/>
          <w:szCs w:val="24"/>
        </w:rPr>
      </w:pPr>
      <w:r w:rsidRPr="00ED2270">
        <w:rPr>
          <w:b/>
          <w:sz w:val="24"/>
          <w:szCs w:val="24"/>
        </w:rPr>
        <w:t>Se un paziente si presenta con sintomi e segni suggestivi di ictus cerebrale</w:t>
      </w:r>
      <w:r w:rsidRPr="00ED2270">
        <w:rPr>
          <w:sz w:val="24"/>
          <w:szCs w:val="24"/>
        </w:rPr>
        <w:t xml:space="preserve"> (scala FAST), indipendentemente dal sospetto di CO</w:t>
      </w:r>
      <w:r>
        <w:rPr>
          <w:sz w:val="24"/>
          <w:szCs w:val="24"/>
        </w:rPr>
        <w:t xml:space="preserve">VID-19, </w:t>
      </w:r>
      <w:r w:rsidRPr="00ED2270">
        <w:rPr>
          <w:b/>
          <w:sz w:val="24"/>
          <w:szCs w:val="24"/>
        </w:rPr>
        <w:t xml:space="preserve">il team </w:t>
      </w:r>
      <w:proofErr w:type="spellStart"/>
      <w:r w:rsidRPr="00ED2270">
        <w:rPr>
          <w:b/>
          <w:sz w:val="24"/>
          <w:szCs w:val="24"/>
        </w:rPr>
        <w:t>neurovascolare</w:t>
      </w:r>
      <w:proofErr w:type="spellEnd"/>
      <w:r w:rsidRPr="00ED2270">
        <w:rPr>
          <w:b/>
          <w:sz w:val="24"/>
          <w:szCs w:val="24"/>
        </w:rPr>
        <w:t xml:space="preserve"> deve essere attivato immediatamente</w:t>
      </w:r>
      <w:r w:rsidRPr="00ED2270">
        <w:rPr>
          <w:sz w:val="24"/>
          <w:szCs w:val="24"/>
        </w:rPr>
        <w:t xml:space="preserve"> e deve essere altresì attivato il per</w:t>
      </w:r>
      <w:r>
        <w:rPr>
          <w:sz w:val="24"/>
          <w:szCs w:val="24"/>
        </w:rPr>
        <w:t>corso ospedaliero per il codice</w:t>
      </w:r>
      <w:r w:rsidRPr="00ED2270">
        <w:rPr>
          <w:sz w:val="24"/>
          <w:szCs w:val="24"/>
        </w:rPr>
        <w:t xml:space="preserve"> ictus (ove presente). Se il paziente è anc</w:t>
      </w:r>
      <w:r>
        <w:rPr>
          <w:sz w:val="24"/>
          <w:szCs w:val="24"/>
        </w:rPr>
        <w:t>he un sospetto caso di COVID-19</w:t>
      </w:r>
      <w:r w:rsidRPr="00ED2270">
        <w:rPr>
          <w:sz w:val="24"/>
          <w:szCs w:val="24"/>
        </w:rPr>
        <w:t xml:space="preserve"> sarà certamente assistito in un’area protetta dedicata al COVID19, così come previsto dai percorsi dei singoli ospedali; nello scenario attuale è possibile che vi sia un ritardo nell’esecuzione del perco</w:t>
      </w:r>
      <w:r>
        <w:rPr>
          <w:sz w:val="24"/>
          <w:szCs w:val="24"/>
        </w:rPr>
        <w:t>rso ictus (laddove presente).</w:t>
      </w:r>
      <w:r>
        <w:rPr>
          <w:sz w:val="24"/>
          <w:szCs w:val="24"/>
        </w:rPr>
        <w:br/>
      </w:r>
    </w:p>
    <w:p w:rsidR="00D325D8" w:rsidRDefault="00D325D8" w:rsidP="00D325D8">
      <w:pPr>
        <w:pStyle w:val="Paragrafoelenco"/>
        <w:numPr>
          <w:ilvl w:val="0"/>
          <w:numId w:val="7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PS/DEA</w:t>
      </w:r>
    </w:p>
    <w:p w:rsidR="00ED2270" w:rsidRDefault="00ED2270" w:rsidP="00ED2270">
      <w:pPr>
        <w:spacing w:before="240"/>
        <w:ind w:left="410"/>
        <w:jc w:val="both"/>
        <w:rPr>
          <w:sz w:val="24"/>
          <w:szCs w:val="24"/>
        </w:rPr>
      </w:pPr>
      <w:r w:rsidRPr="00ED2270">
        <w:rPr>
          <w:sz w:val="24"/>
          <w:szCs w:val="24"/>
        </w:rPr>
        <w:t xml:space="preserve">Il medico del team </w:t>
      </w:r>
      <w:proofErr w:type="spellStart"/>
      <w:r w:rsidRPr="00ED2270">
        <w:rPr>
          <w:sz w:val="24"/>
          <w:szCs w:val="24"/>
        </w:rPr>
        <w:t>neurovascolare</w:t>
      </w:r>
      <w:proofErr w:type="spellEnd"/>
      <w:r w:rsidRPr="00ED2270">
        <w:rPr>
          <w:sz w:val="24"/>
          <w:szCs w:val="24"/>
        </w:rPr>
        <w:t xml:space="preserve"> deve utilizzare adeguati dispositivi di protezione individuale (DPI) al momento della valutazione di ciascun paziente</w:t>
      </w:r>
      <w:r>
        <w:rPr>
          <w:sz w:val="24"/>
          <w:szCs w:val="24"/>
        </w:rPr>
        <w:t xml:space="preserve"> con sospetto ictus cerebrale.</w:t>
      </w:r>
      <w:r>
        <w:rPr>
          <w:sz w:val="24"/>
          <w:szCs w:val="24"/>
        </w:rPr>
        <w:br/>
      </w:r>
      <w:r w:rsidRPr="00ED2270">
        <w:rPr>
          <w:sz w:val="24"/>
          <w:szCs w:val="24"/>
        </w:rPr>
        <w:t>In particolare se si tratta di un caso COVID-19+ o di sospetto COVID</w:t>
      </w:r>
      <w:r>
        <w:rPr>
          <w:sz w:val="24"/>
          <w:szCs w:val="24"/>
        </w:rPr>
        <w:t>-</w:t>
      </w:r>
      <w:r w:rsidRPr="00ED2270">
        <w:rPr>
          <w:sz w:val="24"/>
          <w:szCs w:val="24"/>
        </w:rPr>
        <w:t>19 dovrà indossare DPI adeguati, così come prescritto dai protocolli presenti ed in uso nei singoli ospedali ed in ottemperanza alle i</w:t>
      </w:r>
      <w:r>
        <w:rPr>
          <w:sz w:val="24"/>
          <w:szCs w:val="24"/>
        </w:rPr>
        <w:t>ndicazioni ISS.</w:t>
      </w:r>
    </w:p>
    <w:p w:rsidR="00ED2270" w:rsidRDefault="00ED2270" w:rsidP="00ED2270">
      <w:pPr>
        <w:spacing w:before="240"/>
        <w:ind w:left="410"/>
        <w:jc w:val="both"/>
        <w:rPr>
          <w:b/>
          <w:sz w:val="24"/>
          <w:szCs w:val="24"/>
        </w:rPr>
      </w:pPr>
      <w:r w:rsidRPr="00ED2270">
        <w:rPr>
          <w:b/>
          <w:sz w:val="24"/>
          <w:szCs w:val="24"/>
        </w:rPr>
        <w:t>Nel percorso di tutti i pazienti con sospetto ictus cerebrale consigliamo di includere:</w:t>
      </w:r>
    </w:p>
    <w:p w:rsidR="00ED2270" w:rsidRDefault="00ED2270" w:rsidP="00BC2241">
      <w:pPr>
        <w:pStyle w:val="Paragrafoelenco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proofErr w:type="spellStart"/>
      <w:proofErr w:type="gramStart"/>
      <w:r w:rsidRPr="00ED2270">
        <w:rPr>
          <w:b/>
          <w:sz w:val="24"/>
          <w:szCs w:val="24"/>
        </w:rPr>
        <w:t>imaging</w:t>
      </w:r>
      <w:proofErr w:type="spellEnd"/>
      <w:proofErr w:type="gramEnd"/>
      <w:r w:rsidRPr="00ED2270">
        <w:rPr>
          <w:b/>
          <w:sz w:val="24"/>
          <w:szCs w:val="24"/>
        </w:rPr>
        <w:t xml:space="preserve"> dell’apparato respiratorio: consigliamo che ogni paziente con sospetto ictus cerebrale esegua, durante la permanenza in PS, un accertamento diagnostico per immagini dell’apparato respiratorio, come parte del percorso.</w:t>
      </w:r>
    </w:p>
    <w:p w:rsidR="00ED2270" w:rsidRDefault="00ED2270" w:rsidP="00ED2270">
      <w:pPr>
        <w:pStyle w:val="Paragrafoelenco"/>
        <w:spacing w:after="0"/>
        <w:ind w:left="1130"/>
        <w:jc w:val="both"/>
        <w:rPr>
          <w:sz w:val="24"/>
          <w:szCs w:val="24"/>
        </w:rPr>
      </w:pPr>
      <w:r w:rsidRPr="00ED2270">
        <w:rPr>
          <w:sz w:val="24"/>
          <w:szCs w:val="24"/>
        </w:rPr>
        <w:lastRenderedPageBreak/>
        <w:t xml:space="preserve">La </w:t>
      </w:r>
      <w:r w:rsidRPr="00ED2270">
        <w:rPr>
          <w:sz w:val="24"/>
          <w:szCs w:val="24"/>
          <w:u w:val="single"/>
        </w:rPr>
        <w:t>TC torace HR</w:t>
      </w:r>
      <w:r w:rsidRPr="00ED2270">
        <w:rPr>
          <w:sz w:val="24"/>
          <w:szCs w:val="24"/>
        </w:rPr>
        <w:t xml:space="preserve"> è certamente il tipo di </w:t>
      </w:r>
      <w:proofErr w:type="spellStart"/>
      <w:r w:rsidRPr="00ED2270">
        <w:rPr>
          <w:sz w:val="24"/>
          <w:szCs w:val="24"/>
        </w:rPr>
        <w:t>imaging</w:t>
      </w:r>
      <w:proofErr w:type="spellEnd"/>
      <w:r w:rsidRPr="00ED2270">
        <w:rPr>
          <w:sz w:val="24"/>
          <w:szCs w:val="24"/>
        </w:rPr>
        <w:t xml:space="preserve"> più sensibile (97%) nel rilevare i segni caratteristici della polmonite COVID-19, ma è molto poco specifico (25%) e poco adatto per la decisione terapeutica; l’</w:t>
      </w:r>
      <w:r w:rsidRPr="00ED2270">
        <w:rPr>
          <w:sz w:val="24"/>
          <w:szCs w:val="24"/>
          <w:u w:val="single"/>
        </w:rPr>
        <w:t>RX torace (anche con apparecchio portatile)</w:t>
      </w:r>
      <w:r w:rsidRPr="00ED2270">
        <w:rPr>
          <w:sz w:val="24"/>
          <w:szCs w:val="24"/>
        </w:rPr>
        <w:t xml:space="preserve"> può essere di ausilio come esame di primo inquadramento, mentre l’ecografia del torace (POCUS) può rapp</w:t>
      </w:r>
      <w:r>
        <w:rPr>
          <w:sz w:val="24"/>
          <w:szCs w:val="24"/>
        </w:rPr>
        <w:t xml:space="preserve">resentare un’alternativa utile </w:t>
      </w:r>
      <w:r w:rsidRPr="00ED2270">
        <w:rPr>
          <w:sz w:val="24"/>
          <w:szCs w:val="24"/>
        </w:rPr>
        <w:t>per ridurre utilizzo di apparecchiature/ambienti radiodiagnostica</w:t>
      </w:r>
      <w:r w:rsidRPr="00ED2270"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>.</w:t>
      </w:r>
    </w:p>
    <w:p w:rsidR="00ED2270" w:rsidRDefault="00ED2270" w:rsidP="00ED2270">
      <w:pPr>
        <w:pStyle w:val="Paragrafoelenco"/>
        <w:spacing w:after="0"/>
        <w:ind w:left="1130"/>
        <w:jc w:val="both"/>
        <w:rPr>
          <w:sz w:val="24"/>
          <w:szCs w:val="24"/>
        </w:rPr>
      </w:pPr>
      <w:r w:rsidRPr="00ED2270">
        <w:rPr>
          <w:sz w:val="24"/>
          <w:szCs w:val="24"/>
        </w:rPr>
        <w:t xml:space="preserve">Se l’RX Torace documenta segni suggestivi di </w:t>
      </w:r>
      <w:proofErr w:type="spellStart"/>
      <w:r w:rsidRPr="00ED2270">
        <w:rPr>
          <w:sz w:val="24"/>
          <w:szCs w:val="24"/>
        </w:rPr>
        <w:t>interstiziopatia</w:t>
      </w:r>
      <w:proofErr w:type="spellEnd"/>
      <w:r w:rsidRPr="00ED2270">
        <w:rPr>
          <w:sz w:val="24"/>
          <w:szCs w:val="24"/>
        </w:rPr>
        <w:t xml:space="preserve"> quali un pattern nodulare e/o interstiziale, soprattutto nella periferia del parenchima, e/o un aumento della trama interstiziale con aspetto reticolare, soprattutto se bilaterali e diffusi, occorre richiedere TC Torace HR, anche con paziente non febbrile e asintomatico </w:t>
      </w:r>
      <w:r>
        <w:rPr>
          <w:sz w:val="24"/>
          <w:szCs w:val="24"/>
        </w:rPr>
        <w:t>dal punto di vista respiratorio</w:t>
      </w:r>
      <w:r w:rsidRPr="00ED2270"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>.</w:t>
      </w:r>
    </w:p>
    <w:p w:rsidR="00ED2270" w:rsidRDefault="00ED2270" w:rsidP="00ED2270">
      <w:pPr>
        <w:pStyle w:val="Paragrafoelenco"/>
        <w:spacing w:after="0"/>
        <w:ind w:left="1130"/>
        <w:jc w:val="both"/>
        <w:rPr>
          <w:sz w:val="24"/>
          <w:szCs w:val="24"/>
        </w:rPr>
      </w:pPr>
      <w:r w:rsidRPr="00ED2270">
        <w:rPr>
          <w:sz w:val="24"/>
          <w:szCs w:val="24"/>
        </w:rPr>
        <w:t>La tempistica di questo approfondimento deve essere valutata secondo giudizio clinico e può non essere indispensabile nella fa</w:t>
      </w:r>
      <w:r>
        <w:rPr>
          <w:sz w:val="24"/>
          <w:szCs w:val="24"/>
        </w:rPr>
        <w:t>se dell’ischemia acuta.</w:t>
      </w:r>
    </w:p>
    <w:p w:rsidR="00ED2270" w:rsidRDefault="00ED2270" w:rsidP="00ED2270">
      <w:pPr>
        <w:pStyle w:val="Paragrafoelenco"/>
        <w:spacing w:after="0"/>
        <w:ind w:left="1130"/>
        <w:jc w:val="both"/>
        <w:rPr>
          <w:sz w:val="24"/>
          <w:szCs w:val="24"/>
        </w:rPr>
      </w:pPr>
      <w:r w:rsidRPr="00ED2270">
        <w:rPr>
          <w:sz w:val="24"/>
          <w:szCs w:val="24"/>
        </w:rPr>
        <w:t>Qualora non siano presenti sale radiologiche dedicate ai soli pazienti COVID19+, vale ricordare che le procedure di pulizia e sanificazione possono richiedere tempi che rendono i percorsi e le sale diagnostiche interdette a pazienti non infetti fino anche ad 1 ora. Questo potrebbe ritardare l’iter diagnostico di altre patologie. Qualora possibile, appare raccomandabile differenziare i percorsi dei pazienti con infezione da COVID-19 o sospetti, rispetto ai pazienti non infetti.</w:t>
      </w:r>
    </w:p>
    <w:p w:rsidR="00ED2270" w:rsidRDefault="00ED2270" w:rsidP="00ED2270">
      <w:pPr>
        <w:pStyle w:val="Paragrafoelenco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</w:t>
      </w:r>
      <w:r w:rsidRPr="00ED2270">
        <w:rPr>
          <w:b/>
          <w:sz w:val="24"/>
          <w:szCs w:val="24"/>
        </w:rPr>
        <w:t>mogasanalisi</w:t>
      </w:r>
      <w:proofErr w:type="spellEnd"/>
      <w:r w:rsidRPr="00ED2270">
        <w:rPr>
          <w:sz w:val="24"/>
          <w:szCs w:val="24"/>
        </w:rPr>
        <w:t xml:space="preserve"> nei casi in cui vi sia indicazione clinic</w:t>
      </w:r>
      <w:r>
        <w:rPr>
          <w:sz w:val="24"/>
          <w:szCs w:val="24"/>
        </w:rPr>
        <w:t>a.</w:t>
      </w:r>
    </w:p>
    <w:p w:rsidR="00ED2270" w:rsidRDefault="00ED2270" w:rsidP="0029285C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D2270">
        <w:rPr>
          <w:b/>
          <w:sz w:val="24"/>
          <w:szCs w:val="24"/>
        </w:rPr>
        <w:t xml:space="preserve">Esami ematici: </w:t>
      </w:r>
      <w:r w:rsidRPr="00ED2270">
        <w:rPr>
          <w:b/>
          <w:sz w:val="24"/>
          <w:szCs w:val="24"/>
          <w:u w:val="single"/>
        </w:rPr>
        <w:t>Emocromo, LDH, CPK, PCR, ALT, AST, Gamma GT, Coagulazione, fibrinogeno e D-dimero</w:t>
      </w:r>
      <w:r w:rsidRPr="00ED2270">
        <w:rPr>
          <w:sz w:val="24"/>
          <w:szCs w:val="24"/>
        </w:rPr>
        <w:t xml:space="preserve">. In una parte dei pazienti è stato descritto un rialzo di transaminasi, lattato deidrogenasi (LDH), </w:t>
      </w:r>
      <w:proofErr w:type="spellStart"/>
      <w:r w:rsidRPr="00ED2270">
        <w:rPr>
          <w:sz w:val="24"/>
          <w:szCs w:val="24"/>
        </w:rPr>
        <w:t>creatinchinasi</w:t>
      </w:r>
      <w:proofErr w:type="spellEnd"/>
      <w:r w:rsidRPr="00ED2270">
        <w:rPr>
          <w:sz w:val="24"/>
          <w:szCs w:val="24"/>
        </w:rPr>
        <w:t xml:space="preserve"> (CPK) e della mioglobina. Nei pazienti gravi si può presentare rialzo di </w:t>
      </w:r>
      <w:proofErr w:type="spellStart"/>
      <w:r w:rsidRPr="00ED2270">
        <w:rPr>
          <w:sz w:val="24"/>
          <w:szCs w:val="24"/>
        </w:rPr>
        <w:t>troponina</w:t>
      </w:r>
      <w:proofErr w:type="spellEnd"/>
      <w:r w:rsidRPr="00ED2270">
        <w:rPr>
          <w:sz w:val="24"/>
          <w:szCs w:val="24"/>
        </w:rPr>
        <w:t xml:space="preserve"> T (</w:t>
      </w:r>
      <w:proofErr w:type="spellStart"/>
      <w:r w:rsidRPr="00ED2270">
        <w:rPr>
          <w:sz w:val="24"/>
          <w:szCs w:val="24"/>
        </w:rPr>
        <w:t>TnT</w:t>
      </w:r>
      <w:proofErr w:type="spellEnd"/>
      <w:r w:rsidRPr="00ED2270">
        <w:rPr>
          <w:sz w:val="24"/>
          <w:szCs w:val="24"/>
        </w:rPr>
        <w:t xml:space="preserve">), che però si può riscontrare anche in corso di eventi vascolari acuti. Nella maggioranza dei casi si osserva incremento di proteina C reattiva (PCR) e velocità di eritrosedimentazione (VES) in assenza di aumento di </w:t>
      </w:r>
      <w:proofErr w:type="spellStart"/>
      <w:r w:rsidRPr="00ED2270">
        <w:rPr>
          <w:sz w:val="24"/>
          <w:szCs w:val="24"/>
        </w:rPr>
        <w:t>procalcitonina</w:t>
      </w:r>
      <w:proofErr w:type="spellEnd"/>
      <w:r w:rsidRPr="00ED2270">
        <w:rPr>
          <w:sz w:val="24"/>
          <w:szCs w:val="24"/>
        </w:rPr>
        <w:t xml:space="preserve"> (PCT).</w:t>
      </w:r>
    </w:p>
    <w:p w:rsidR="0029285C" w:rsidRPr="0029285C" w:rsidRDefault="0029285C" w:rsidP="0029285C">
      <w:pPr>
        <w:pStyle w:val="Paragrafoelenco"/>
        <w:spacing w:after="0" w:line="240" w:lineRule="auto"/>
        <w:ind w:left="1130"/>
        <w:jc w:val="both"/>
        <w:rPr>
          <w:b/>
          <w:sz w:val="24"/>
          <w:szCs w:val="24"/>
        </w:rPr>
      </w:pPr>
      <w:r w:rsidRPr="0029285C">
        <w:rPr>
          <w:sz w:val="24"/>
          <w:szCs w:val="24"/>
        </w:rPr>
        <w:t xml:space="preserve">Qualora il paziente divenga un caso </w:t>
      </w:r>
      <w:r w:rsidRPr="0029285C">
        <w:rPr>
          <w:b/>
          <w:sz w:val="24"/>
          <w:szCs w:val="24"/>
        </w:rPr>
        <w:t>sospetto di COVID-19</w:t>
      </w:r>
      <w:r>
        <w:rPr>
          <w:sz w:val="24"/>
          <w:szCs w:val="24"/>
        </w:rPr>
        <w:t xml:space="preserve"> </w:t>
      </w:r>
      <w:r w:rsidRPr="0029285C">
        <w:rPr>
          <w:sz w:val="24"/>
          <w:szCs w:val="24"/>
        </w:rPr>
        <w:t>durante il percorso diagnostico terapeutico si consiglia valutazione congiunta con infettivologo o medico dell’emergenza per eseguire ulteriori accertamenti previsti in questo senso. Se il paziente è candidabile a trattamento di rivascolarizzazione farmacologica consigliamo di iniziare la tera</w:t>
      </w:r>
      <w:r>
        <w:rPr>
          <w:sz w:val="24"/>
          <w:szCs w:val="24"/>
        </w:rPr>
        <w:t>pia e poi eseguire il tampone.</w:t>
      </w:r>
    </w:p>
    <w:p w:rsidR="0029285C" w:rsidRDefault="0029285C" w:rsidP="0029285C">
      <w:pPr>
        <w:pStyle w:val="Paragrafoelenco"/>
        <w:spacing w:after="0" w:line="240" w:lineRule="auto"/>
        <w:ind w:left="1130"/>
        <w:jc w:val="both"/>
        <w:rPr>
          <w:b/>
          <w:sz w:val="24"/>
          <w:szCs w:val="24"/>
        </w:rPr>
      </w:pPr>
    </w:p>
    <w:p w:rsidR="00ED2270" w:rsidRDefault="0029285C" w:rsidP="0029285C">
      <w:pPr>
        <w:pStyle w:val="Paragrafoelenco"/>
        <w:spacing w:after="0" w:line="240" w:lineRule="auto"/>
        <w:ind w:left="1130"/>
        <w:jc w:val="both"/>
        <w:rPr>
          <w:b/>
          <w:sz w:val="24"/>
          <w:szCs w:val="24"/>
        </w:rPr>
      </w:pPr>
      <w:r w:rsidRPr="0029285C">
        <w:rPr>
          <w:b/>
          <w:sz w:val="24"/>
          <w:szCs w:val="24"/>
        </w:rPr>
        <w:t xml:space="preserve">Per quanto concerne il paziente candidabile a intervento </w:t>
      </w:r>
      <w:proofErr w:type="spellStart"/>
      <w:r w:rsidRPr="0029285C">
        <w:rPr>
          <w:b/>
          <w:sz w:val="24"/>
          <w:szCs w:val="24"/>
        </w:rPr>
        <w:t>endovascolare</w:t>
      </w:r>
      <w:proofErr w:type="spellEnd"/>
      <w:r w:rsidRPr="0029285C">
        <w:rPr>
          <w:b/>
          <w:sz w:val="24"/>
          <w:szCs w:val="24"/>
        </w:rPr>
        <w:t xml:space="preserve"> intracerebrale in emergenza o ad intervento di chirurgia vascolare (</w:t>
      </w:r>
      <w:proofErr w:type="spellStart"/>
      <w:r w:rsidRPr="0029285C">
        <w:rPr>
          <w:b/>
          <w:sz w:val="24"/>
          <w:szCs w:val="24"/>
        </w:rPr>
        <w:t>CEAendoarterectomia</w:t>
      </w:r>
      <w:proofErr w:type="spellEnd"/>
      <w:r w:rsidRPr="0029285C">
        <w:rPr>
          <w:b/>
          <w:sz w:val="24"/>
          <w:szCs w:val="24"/>
        </w:rPr>
        <w:t xml:space="preserve"> carotidea/CAS-</w:t>
      </w:r>
      <w:proofErr w:type="spellStart"/>
      <w:r w:rsidRPr="0029285C">
        <w:rPr>
          <w:b/>
          <w:sz w:val="24"/>
          <w:szCs w:val="24"/>
        </w:rPr>
        <w:t>stenting</w:t>
      </w:r>
      <w:proofErr w:type="spellEnd"/>
      <w:r w:rsidRPr="0029285C">
        <w:rPr>
          <w:b/>
          <w:sz w:val="24"/>
          <w:szCs w:val="24"/>
        </w:rPr>
        <w:t xml:space="preserve"> carotideo)</w:t>
      </w:r>
      <w:r>
        <w:rPr>
          <w:b/>
          <w:sz w:val="24"/>
          <w:szCs w:val="24"/>
        </w:rPr>
        <w:t xml:space="preserve"> a breve,</w:t>
      </w:r>
      <w:r w:rsidRPr="0029285C">
        <w:rPr>
          <w:b/>
          <w:sz w:val="24"/>
          <w:szCs w:val="24"/>
        </w:rPr>
        <w:t xml:space="preserve"> gli scenari possibili sono i seguenti:</w:t>
      </w:r>
    </w:p>
    <w:p w:rsidR="0029285C" w:rsidRDefault="0029285C" w:rsidP="0029285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Paziente non sospetto per </w:t>
      </w:r>
      <w:r w:rsidRPr="0029285C">
        <w:rPr>
          <w:b/>
          <w:sz w:val="24"/>
          <w:szCs w:val="24"/>
        </w:rPr>
        <w:t>COVID-19: procedere come da PDTA aziendale</w:t>
      </w:r>
      <w:r>
        <w:rPr>
          <w:b/>
          <w:sz w:val="24"/>
          <w:szCs w:val="24"/>
        </w:rPr>
        <w:t>;</w:t>
      </w:r>
    </w:p>
    <w:p w:rsidR="0029285C" w:rsidRDefault="0029285C" w:rsidP="0029285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29285C">
        <w:rPr>
          <w:b/>
          <w:sz w:val="24"/>
          <w:szCs w:val="24"/>
        </w:rPr>
        <w:t>aziente sospetto per COVID-19 senza gravi sintomi respiratori: fino all’esito del tampone/test sierologico il paziente dovrà essere gestito come possibile paziente COVID-19+, procedendo come da PDTA ictus in aree COVID-19 dedicate con personale coi</w:t>
      </w:r>
      <w:r>
        <w:rPr>
          <w:b/>
          <w:sz w:val="24"/>
          <w:szCs w:val="24"/>
        </w:rPr>
        <w:t>nvolto protetto da DPI adeguati;</w:t>
      </w:r>
    </w:p>
    <w:p w:rsidR="0029285C" w:rsidRDefault="0029285C" w:rsidP="0029285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29285C">
        <w:rPr>
          <w:b/>
          <w:sz w:val="24"/>
          <w:szCs w:val="24"/>
        </w:rPr>
        <w:t xml:space="preserve">aziente sospetto per COVID-19 con severo </w:t>
      </w:r>
      <w:proofErr w:type="spellStart"/>
      <w:r w:rsidRPr="0029285C">
        <w:rPr>
          <w:b/>
          <w:sz w:val="24"/>
          <w:szCs w:val="24"/>
        </w:rPr>
        <w:t>distress</w:t>
      </w:r>
      <w:proofErr w:type="spellEnd"/>
      <w:r w:rsidRPr="0029285C">
        <w:rPr>
          <w:b/>
          <w:sz w:val="24"/>
          <w:szCs w:val="24"/>
        </w:rPr>
        <w:t xml:space="preserve"> respiratorio: prioritario è l’intervento rianimatorio, in seguito si può valutare eventuale opportunità degli interventi di rivascolarizzazione anche in funzio</w:t>
      </w:r>
      <w:r>
        <w:rPr>
          <w:b/>
          <w:sz w:val="24"/>
          <w:szCs w:val="24"/>
        </w:rPr>
        <w:t>ne della prognosi complessiva;</w:t>
      </w:r>
    </w:p>
    <w:p w:rsidR="0029285C" w:rsidRDefault="0029285C" w:rsidP="0029285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29285C">
        <w:rPr>
          <w:b/>
          <w:sz w:val="24"/>
          <w:szCs w:val="24"/>
        </w:rPr>
        <w:t xml:space="preserve">aziente con accertata infezione da COVID-19. Dovrà accedere alla sala angiografica o alla sala chirurgica intubato o non intubato, secondo le consuete </w:t>
      </w:r>
      <w:r w:rsidRPr="0029285C">
        <w:rPr>
          <w:b/>
          <w:sz w:val="24"/>
          <w:szCs w:val="24"/>
        </w:rPr>
        <w:lastRenderedPageBreak/>
        <w:t>norme e modalità. Il personale coinvolto dovrà ess</w:t>
      </w:r>
      <w:r>
        <w:rPr>
          <w:b/>
          <w:sz w:val="24"/>
          <w:szCs w:val="24"/>
        </w:rPr>
        <w:t>ere protetto da DPI adeguati.</w:t>
      </w:r>
    </w:p>
    <w:p w:rsidR="0029285C" w:rsidRDefault="0029285C" w:rsidP="0029285C">
      <w:pPr>
        <w:spacing w:after="0" w:line="240" w:lineRule="auto"/>
        <w:ind w:left="770"/>
        <w:jc w:val="both"/>
        <w:rPr>
          <w:sz w:val="24"/>
          <w:szCs w:val="24"/>
        </w:rPr>
      </w:pPr>
    </w:p>
    <w:p w:rsidR="0029285C" w:rsidRPr="0029285C" w:rsidRDefault="0029285C" w:rsidP="0029285C">
      <w:pPr>
        <w:spacing w:after="0" w:line="240" w:lineRule="auto"/>
        <w:ind w:left="770"/>
        <w:jc w:val="both"/>
        <w:rPr>
          <w:b/>
          <w:sz w:val="24"/>
          <w:szCs w:val="24"/>
        </w:rPr>
      </w:pPr>
      <w:r w:rsidRPr="0029285C">
        <w:rPr>
          <w:b/>
          <w:sz w:val="24"/>
          <w:szCs w:val="24"/>
        </w:rPr>
        <w:t>Gli scenari descritti sono riferibili sia a pazienti che afferiscono al PS di riferimento sia che provengano per trasferimento da altri ospedali della rete ictus.</w:t>
      </w:r>
    </w:p>
    <w:p w:rsidR="0029285C" w:rsidRDefault="0029285C" w:rsidP="0029285C">
      <w:pPr>
        <w:spacing w:after="0" w:line="240" w:lineRule="auto"/>
        <w:ind w:left="770"/>
        <w:jc w:val="both"/>
        <w:rPr>
          <w:b/>
          <w:sz w:val="24"/>
          <w:szCs w:val="24"/>
        </w:rPr>
      </w:pPr>
      <w:r w:rsidRPr="0029285C">
        <w:rPr>
          <w:b/>
          <w:sz w:val="24"/>
          <w:szCs w:val="24"/>
        </w:rPr>
        <w:t xml:space="preserve">Appare evidente la necessità dell’esecuzione del tampone/test. L’esito del test potrà essere necessario per meglio gestire la fase post-intervento, in particolare per il corretto trasferimento del paziente nel reparto più adeguato e per le procedure di pulizia e sanificazione delle sale. L’esito del tampone dovrà essere </w:t>
      </w:r>
      <w:r>
        <w:rPr>
          <w:b/>
          <w:sz w:val="24"/>
          <w:szCs w:val="24"/>
        </w:rPr>
        <w:t>comunicato il prima possibile.</w:t>
      </w:r>
    </w:p>
    <w:p w:rsidR="0029285C" w:rsidRDefault="0029285C" w:rsidP="0029285C">
      <w:pPr>
        <w:spacing w:before="240" w:after="0" w:line="240" w:lineRule="auto"/>
        <w:ind w:left="770"/>
        <w:jc w:val="both"/>
        <w:rPr>
          <w:sz w:val="24"/>
          <w:szCs w:val="24"/>
        </w:rPr>
      </w:pPr>
      <w:r w:rsidRPr="0029285C">
        <w:rPr>
          <w:sz w:val="24"/>
          <w:szCs w:val="24"/>
        </w:rPr>
        <w:t>In caso di utilizzo della sala angiografica, o di altri ambienti radiologici sia per esami diagnostici che per procedure interventistiche, nel caso di pazienti affetti o con sospetto di COVID-19, è raccomandata l’adozione di procedure di pulizia/sanificazione degli ambienti e delle apparecchiature. La sicurezza deg</w:t>
      </w:r>
      <w:r>
        <w:rPr>
          <w:sz w:val="24"/>
          <w:szCs w:val="24"/>
        </w:rPr>
        <w:t>li operatori dovrà</w:t>
      </w:r>
      <w:r w:rsidRPr="0029285C">
        <w:rPr>
          <w:sz w:val="24"/>
          <w:szCs w:val="24"/>
        </w:rPr>
        <w:t xml:space="preserve"> essere garantita con l’utilizzo dei dispositivi adeguati (mascherina FFP2/FFP3, occhiali di protezione o mascherina con visiera, guanti, tuta o ca</w:t>
      </w:r>
      <w:r>
        <w:rPr>
          <w:sz w:val="24"/>
          <w:szCs w:val="24"/>
        </w:rPr>
        <w:t>mice di protezione e calzari).</w:t>
      </w:r>
    </w:p>
    <w:p w:rsidR="0029285C" w:rsidRDefault="0029285C" w:rsidP="0029285C">
      <w:pPr>
        <w:spacing w:after="0" w:line="240" w:lineRule="auto"/>
        <w:ind w:left="770"/>
        <w:jc w:val="both"/>
        <w:rPr>
          <w:sz w:val="24"/>
          <w:szCs w:val="24"/>
        </w:rPr>
      </w:pPr>
      <w:r w:rsidRPr="0029285C">
        <w:rPr>
          <w:sz w:val="24"/>
          <w:szCs w:val="24"/>
        </w:rPr>
        <w:t>Raccomandiamo di destinare i pazienti con sospetto COVID-1</w:t>
      </w:r>
      <w:r>
        <w:rPr>
          <w:sz w:val="24"/>
          <w:szCs w:val="24"/>
        </w:rPr>
        <w:t xml:space="preserve">9 a spazi adeguati al </w:t>
      </w:r>
      <w:proofErr w:type="spellStart"/>
      <w:r>
        <w:rPr>
          <w:sz w:val="24"/>
          <w:szCs w:val="24"/>
        </w:rPr>
        <w:t>bio</w:t>
      </w:r>
      <w:proofErr w:type="spellEnd"/>
      <w:r>
        <w:rPr>
          <w:sz w:val="24"/>
          <w:szCs w:val="24"/>
        </w:rPr>
        <w:t>-</w:t>
      </w:r>
      <w:r w:rsidRPr="0029285C">
        <w:rPr>
          <w:sz w:val="24"/>
          <w:szCs w:val="24"/>
        </w:rPr>
        <w:t xml:space="preserve">contenimento una volta concluse le procedure in sala angiografica, in attesa dell’esito del </w:t>
      </w:r>
      <w:r>
        <w:rPr>
          <w:sz w:val="24"/>
          <w:szCs w:val="24"/>
        </w:rPr>
        <w:t>tampone o del test su sangue.</w:t>
      </w:r>
    </w:p>
    <w:p w:rsidR="0029285C" w:rsidRDefault="0029285C" w:rsidP="0029285C">
      <w:pPr>
        <w:spacing w:after="0" w:line="240" w:lineRule="auto"/>
        <w:ind w:left="770"/>
        <w:jc w:val="both"/>
        <w:rPr>
          <w:sz w:val="24"/>
          <w:szCs w:val="24"/>
        </w:rPr>
      </w:pPr>
      <w:r w:rsidRPr="0029285C">
        <w:rPr>
          <w:sz w:val="24"/>
          <w:szCs w:val="24"/>
        </w:rPr>
        <w:t xml:space="preserve">Questi spazi saranno individuati da ciascuna azienda ed il paziente sarà in carico al team </w:t>
      </w:r>
      <w:proofErr w:type="spellStart"/>
      <w:r w:rsidRPr="0029285C">
        <w:rPr>
          <w:sz w:val="24"/>
          <w:szCs w:val="24"/>
        </w:rPr>
        <w:t>neurovascolare</w:t>
      </w:r>
      <w:proofErr w:type="spellEnd"/>
      <w:r w:rsidRPr="0029285C">
        <w:rPr>
          <w:sz w:val="24"/>
          <w:szCs w:val="24"/>
        </w:rPr>
        <w:t xml:space="preserve"> e/o al rianimatore a seconda che sia assistit</w:t>
      </w:r>
      <w:r>
        <w:rPr>
          <w:sz w:val="24"/>
          <w:szCs w:val="24"/>
        </w:rPr>
        <w:t>o per la ventilazione o meno</w:t>
      </w:r>
      <w:r w:rsidRPr="0029285C"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t xml:space="preserve"> </w:t>
      </w:r>
      <w:r w:rsidRPr="0029285C">
        <w:rPr>
          <w:sz w:val="24"/>
          <w:szCs w:val="24"/>
        </w:rPr>
        <w:t>(vedi Allegato per ulteriori dettagli)</w:t>
      </w:r>
      <w:r>
        <w:rPr>
          <w:sz w:val="24"/>
          <w:szCs w:val="24"/>
        </w:rPr>
        <w:t>.</w:t>
      </w:r>
    </w:p>
    <w:p w:rsidR="0029285C" w:rsidRPr="0029285C" w:rsidRDefault="0029285C" w:rsidP="0029285C">
      <w:pPr>
        <w:spacing w:after="0" w:line="240" w:lineRule="auto"/>
        <w:ind w:left="770"/>
        <w:jc w:val="both"/>
        <w:rPr>
          <w:sz w:val="24"/>
          <w:szCs w:val="24"/>
        </w:rPr>
      </w:pPr>
    </w:p>
    <w:p w:rsidR="00D325D8" w:rsidRDefault="00D325D8" w:rsidP="00D325D8">
      <w:pPr>
        <w:pStyle w:val="Paragrafoelenco"/>
        <w:numPr>
          <w:ilvl w:val="0"/>
          <w:numId w:val="7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Unità </w:t>
      </w:r>
      <w:proofErr w:type="spellStart"/>
      <w:r>
        <w:rPr>
          <w:b/>
          <w:sz w:val="24"/>
          <w:szCs w:val="24"/>
        </w:rPr>
        <w:t>Neurovascolare</w:t>
      </w:r>
      <w:proofErr w:type="spellEnd"/>
      <w:r>
        <w:rPr>
          <w:b/>
          <w:sz w:val="24"/>
          <w:szCs w:val="24"/>
        </w:rPr>
        <w:t>/</w:t>
      </w:r>
      <w:r w:rsidRPr="00D325D8">
        <w:rPr>
          <w:b/>
          <w:sz w:val="24"/>
          <w:szCs w:val="24"/>
        </w:rPr>
        <w:t>Reparto di Neurologia</w:t>
      </w:r>
    </w:p>
    <w:p w:rsidR="0029285C" w:rsidRDefault="0029285C" w:rsidP="0029285C">
      <w:pPr>
        <w:spacing w:before="240"/>
        <w:ind w:left="410"/>
        <w:jc w:val="both"/>
        <w:rPr>
          <w:b/>
          <w:sz w:val="24"/>
          <w:szCs w:val="24"/>
        </w:rPr>
      </w:pPr>
      <w:r w:rsidRPr="0029285C">
        <w:rPr>
          <w:b/>
          <w:sz w:val="24"/>
          <w:szCs w:val="24"/>
        </w:rPr>
        <w:t>Tutti i pazienti con ictus cerebrale acuto dovrebbero essere ricoverati in un ambiente dedicato. Tuttavia, vista la complessità delle cure necessarie ai pazienti con COVID-19 e ictus, è necessario adattarsi e modificare il modello organizzativo dell’assistenza al paziente con ictus. Per questi pazienti è opportuno il</w:t>
      </w:r>
      <w:r>
        <w:rPr>
          <w:b/>
          <w:sz w:val="24"/>
          <w:szCs w:val="24"/>
        </w:rPr>
        <w:t xml:space="preserve"> ricovero nelle aree COVID-19 e</w:t>
      </w:r>
      <w:r w:rsidRPr="0029285C">
        <w:rPr>
          <w:b/>
          <w:sz w:val="24"/>
          <w:szCs w:val="24"/>
        </w:rPr>
        <w:t xml:space="preserve"> predisponendo un‘attività di consulenza neuro-vascolare, in pronta disponibilità, che garantisca il follow-up </w:t>
      </w:r>
      <w:r>
        <w:rPr>
          <w:b/>
          <w:sz w:val="24"/>
          <w:szCs w:val="24"/>
        </w:rPr>
        <w:t>dei pazienti da remoto.</w:t>
      </w:r>
    </w:p>
    <w:p w:rsidR="0029285C" w:rsidRDefault="0029285C" w:rsidP="0029285C">
      <w:pPr>
        <w:spacing w:before="240"/>
        <w:ind w:left="410"/>
        <w:jc w:val="both"/>
        <w:rPr>
          <w:b/>
          <w:sz w:val="24"/>
          <w:szCs w:val="24"/>
        </w:rPr>
      </w:pPr>
      <w:r w:rsidRPr="0029285C">
        <w:rPr>
          <w:b/>
          <w:sz w:val="24"/>
          <w:szCs w:val="24"/>
        </w:rPr>
        <w:t xml:space="preserve">Laddove possibile, si consiglia di suddividere le Unità </w:t>
      </w:r>
      <w:proofErr w:type="spellStart"/>
      <w:r w:rsidRPr="0029285C">
        <w:rPr>
          <w:b/>
          <w:sz w:val="24"/>
          <w:szCs w:val="24"/>
        </w:rPr>
        <w:t>Neurovascolari</w:t>
      </w:r>
      <w:proofErr w:type="spellEnd"/>
      <w:r w:rsidRPr="0029285C">
        <w:rPr>
          <w:b/>
          <w:sz w:val="24"/>
          <w:szCs w:val="24"/>
        </w:rPr>
        <w:t xml:space="preserve"> in due ambienti, uno per il ricovero dei pazienti affetti da ictus con infezione COVID-19 ed uno per i pazienti con ictus cerebrale che </w:t>
      </w:r>
      <w:r w:rsidRPr="0029285C">
        <w:rPr>
          <w:b/>
          <w:sz w:val="24"/>
          <w:szCs w:val="24"/>
          <w:u w:val="single"/>
        </w:rPr>
        <w:t>NON</w:t>
      </w:r>
      <w:r w:rsidR="00054A4D">
        <w:rPr>
          <w:b/>
          <w:sz w:val="24"/>
          <w:szCs w:val="24"/>
        </w:rPr>
        <w:t xml:space="preserve"> sono</w:t>
      </w:r>
      <w:r w:rsidRPr="0029285C">
        <w:rPr>
          <w:b/>
          <w:sz w:val="24"/>
          <w:szCs w:val="24"/>
        </w:rPr>
        <w:t xml:space="preserve"> COVID-19.</w:t>
      </w:r>
    </w:p>
    <w:p w:rsidR="0029285C" w:rsidRDefault="0029285C" w:rsidP="0029285C">
      <w:pPr>
        <w:spacing w:before="240"/>
        <w:ind w:left="410"/>
        <w:jc w:val="both"/>
        <w:rPr>
          <w:b/>
          <w:sz w:val="24"/>
          <w:szCs w:val="24"/>
        </w:rPr>
      </w:pPr>
      <w:r w:rsidRPr="0029285C">
        <w:rPr>
          <w:b/>
          <w:sz w:val="24"/>
          <w:szCs w:val="24"/>
        </w:rPr>
        <w:t>Il personale infermieristico e medico dovrebbe essere dedicato agli specifici ambienti, evitando così una commistione d</w:t>
      </w:r>
      <w:r>
        <w:rPr>
          <w:b/>
          <w:sz w:val="24"/>
          <w:szCs w:val="24"/>
        </w:rPr>
        <w:t xml:space="preserve">elle due equipe </w:t>
      </w:r>
      <w:proofErr w:type="spellStart"/>
      <w:r>
        <w:rPr>
          <w:b/>
          <w:sz w:val="24"/>
          <w:szCs w:val="24"/>
        </w:rPr>
        <w:t>neurovascolari</w:t>
      </w:r>
      <w:proofErr w:type="spellEnd"/>
      <w:r>
        <w:rPr>
          <w:b/>
          <w:sz w:val="24"/>
          <w:szCs w:val="24"/>
        </w:rPr>
        <w:t>.</w:t>
      </w:r>
    </w:p>
    <w:p w:rsidR="0029285C" w:rsidRDefault="0029285C" w:rsidP="0029285C">
      <w:pPr>
        <w:spacing w:before="240"/>
        <w:ind w:left="410"/>
        <w:jc w:val="both"/>
        <w:rPr>
          <w:b/>
          <w:sz w:val="24"/>
          <w:szCs w:val="24"/>
        </w:rPr>
      </w:pPr>
      <w:r w:rsidRPr="0029285C">
        <w:rPr>
          <w:b/>
          <w:sz w:val="24"/>
          <w:szCs w:val="24"/>
        </w:rPr>
        <w:t>Analoga attenzione dovrà essere prestata ai pazienti accettati come sospetti COVID-19, con quadro clinico fortemente suggestivo per infezione da COVID-19 e primo tampone eseguito in urgenza negativo. In questi casi appare consigliabile che siano tenuti per le prime ore in una stanza separata fino all’esito di un secondo tampone.</w:t>
      </w:r>
    </w:p>
    <w:p w:rsidR="0029285C" w:rsidRDefault="0029285C" w:rsidP="0029285C">
      <w:pPr>
        <w:spacing w:before="240"/>
        <w:ind w:left="410"/>
        <w:jc w:val="both"/>
        <w:rPr>
          <w:b/>
          <w:sz w:val="24"/>
          <w:szCs w:val="24"/>
        </w:rPr>
      </w:pPr>
      <w:r w:rsidRPr="0029285C">
        <w:rPr>
          <w:b/>
          <w:sz w:val="24"/>
          <w:szCs w:val="24"/>
        </w:rPr>
        <w:t>Durante il ricovero consigliamo di monitorare con particolare attenzione i possibili segni clinici e strumentali che possano essere suggestivi di una infezione COVID-19 latente:</w:t>
      </w:r>
    </w:p>
    <w:p w:rsidR="0029285C" w:rsidRDefault="0029285C" w:rsidP="0029285C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 w:rsidRPr="0029285C">
        <w:rPr>
          <w:sz w:val="24"/>
          <w:szCs w:val="24"/>
        </w:rPr>
        <w:t>onitorare la temperatura corporea 4-6 volte al giorno; in caso di rialzo febbrile eseguire TC Torace, emocromo, emoc</w:t>
      </w:r>
      <w:r w:rsidR="00054A4D">
        <w:rPr>
          <w:sz w:val="24"/>
          <w:szCs w:val="24"/>
        </w:rPr>
        <w:t>olture, CPK, LDH, PCR, D-Dimero</w:t>
      </w:r>
      <w:r w:rsidRPr="0029285C">
        <w:rPr>
          <w:sz w:val="24"/>
          <w:szCs w:val="24"/>
        </w:rPr>
        <w:t xml:space="preserve"> e rivalutare il paziente globalmente per determinare se si tratti di un potenziale COVID-19 ed in caso eseguire il t</w:t>
      </w:r>
      <w:r>
        <w:rPr>
          <w:sz w:val="24"/>
          <w:szCs w:val="24"/>
        </w:rPr>
        <w:t>est specifico per SARS- Cov-2;</w:t>
      </w:r>
    </w:p>
    <w:p w:rsidR="0029285C" w:rsidRDefault="0029285C" w:rsidP="0029285C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29285C">
        <w:rPr>
          <w:sz w:val="24"/>
          <w:szCs w:val="24"/>
        </w:rPr>
        <w:t xml:space="preserve">onitorare la </w:t>
      </w:r>
      <w:proofErr w:type="spellStart"/>
      <w:r w:rsidRPr="0029285C">
        <w:rPr>
          <w:sz w:val="24"/>
          <w:szCs w:val="24"/>
        </w:rPr>
        <w:t>pulsossimetria</w:t>
      </w:r>
      <w:proofErr w:type="spellEnd"/>
      <w:r w:rsidRPr="0029285C">
        <w:rPr>
          <w:sz w:val="24"/>
          <w:szCs w:val="24"/>
        </w:rPr>
        <w:t xml:space="preserve"> e la comparsa di disturbi respiratori (tosse, dispnea aumento frequenza atti respiratori) annotando in cartella se presenti o men</w:t>
      </w:r>
      <w:r w:rsidR="00054A4D">
        <w:rPr>
          <w:sz w:val="24"/>
          <w:szCs w:val="24"/>
        </w:rPr>
        <w:t xml:space="preserve">o almeno 3 </w:t>
      </w:r>
      <w:r>
        <w:rPr>
          <w:sz w:val="24"/>
          <w:szCs w:val="24"/>
        </w:rPr>
        <w:t>volte al giorno;</w:t>
      </w:r>
    </w:p>
    <w:p w:rsidR="00645103" w:rsidRPr="00645103" w:rsidRDefault="0029285C" w:rsidP="00645103">
      <w:pPr>
        <w:pStyle w:val="Paragrafoelenco"/>
        <w:numPr>
          <w:ilvl w:val="0"/>
          <w:numId w:val="11"/>
        </w:numPr>
        <w:spacing w:before="240"/>
        <w:ind w:left="770"/>
        <w:jc w:val="both"/>
        <w:rPr>
          <w:b/>
          <w:sz w:val="24"/>
          <w:szCs w:val="24"/>
        </w:rPr>
      </w:pPr>
      <w:r w:rsidRPr="0029285C">
        <w:rPr>
          <w:sz w:val="24"/>
          <w:szCs w:val="24"/>
        </w:rPr>
        <w:t>Eseguire con maggiore frequenza emocromo e dosaggio azoto ur</w:t>
      </w:r>
      <w:r w:rsidR="00645103">
        <w:rPr>
          <w:sz w:val="24"/>
          <w:szCs w:val="24"/>
        </w:rPr>
        <w:t>eico.</w:t>
      </w:r>
    </w:p>
    <w:p w:rsidR="00645103" w:rsidRDefault="00645103" w:rsidP="00054A4D">
      <w:pPr>
        <w:spacing w:before="240"/>
        <w:ind w:left="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recente studio </w:t>
      </w:r>
      <w:r w:rsidRPr="00645103">
        <w:rPr>
          <w:sz w:val="24"/>
          <w:szCs w:val="24"/>
        </w:rPr>
        <w:t>ha evidenziato che i pazienti con sintomi di coinvolgimento del SNC avevano livelli più bassi di linfociti, conta piastrinica e livelli più alti di azoto ureico nel sangue rispetto a quelli senza sintomi del SNC</w:t>
      </w:r>
      <w:r w:rsidRPr="00645103">
        <w:rPr>
          <w:sz w:val="24"/>
          <w:szCs w:val="24"/>
          <w:vertAlign w:val="superscript"/>
        </w:rPr>
        <w:t>10</w:t>
      </w:r>
      <w:r w:rsidR="00054A4D">
        <w:rPr>
          <w:sz w:val="24"/>
          <w:szCs w:val="24"/>
        </w:rPr>
        <w:t>.</w:t>
      </w:r>
    </w:p>
    <w:p w:rsidR="00054A4D" w:rsidRPr="00054A4D" w:rsidRDefault="00054A4D" w:rsidP="00054A4D">
      <w:pPr>
        <w:ind w:left="410"/>
        <w:jc w:val="both"/>
        <w:rPr>
          <w:sz w:val="24"/>
          <w:szCs w:val="24"/>
        </w:rPr>
      </w:pPr>
    </w:p>
    <w:p w:rsidR="00D325D8" w:rsidRDefault="00D325D8" w:rsidP="00D325D8">
      <w:pPr>
        <w:pStyle w:val="Paragrafoelenco"/>
        <w:numPr>
          <w:ilvl w:val="0"/>
          <w:numId w:val="7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Paziente COVID-19 </w:t>
      </w:r>
      <w:r w:rsidRPr="00D325D8">
        <w:rPr>
          <w:b/>
          <w:sz w:val="24"/>
          <w:szCs w:val="24"/>
        </w:rPr>
        <w:t>con deterioramento neurologico</w:t>
      </w:r>
    </w:p>
    <w:p w:rsidR="00054A4D" w:rsidRPr="00054A4D" w:rsidRDefault="00054A4D" w:rsidP="00054A4D">
      <w:pPr>
        <w:spacing w:before="240"/>
        <w:ind w:left="410"/>
        <w:jc w:val="both"/>
        <w:rPr>
          <w:sz w:val="24"/>
          <w:szCs w:val="24"/>
        </w:rPr>
      </w:pPr>
      <w:r w:rsidRPr="00054A4D">
        <w:rPr>
          <w:sz w:val="24"/>
          <w:szCs w:val="24"/>
        </w:rPr>
        <w:t xml:space="preserve">E’ stato osservato che i pazienti con SARS- COV-19 possono andare incontro ad un rapido deterioramento clinico, che potrebbe essere correlato a un evento neurologico come l'ictus, che contribuirebbe quindi all’elevato tasso di mortalità.  I pazienti COVID-19 sono infatti quelli affetti da condizioni croniche, come ipertensione, diabete, cardiopatia ischemica e pregresso ictus cerebrale, che li predispongono </w:t>
      </w:r>
      <w:r w:rsidRPr="00054A4D">
        <w:rPr>
          <w:i/>
          <w:sz w:val="24"/>
          <w:szCs w:val="24"/>
        </w:rPr>
        <w:t>indipendentemente</w:t>
      </w:r>
      <w:r w:rsidRPr="00054A4D">
        <w:rPr>
          <w:sz w:val="24"/>
          <w:szCs w:val="24"/>
        </w:rPr>
        <w:t xml:space="preserve"> ad un maggiore rischio di eventi vascolari cerebrali. Nei pazi</w:t>
      </w:r>
      <w:r>
        <w:rPr>
          <w:sz w:val="24"/>
          <w:szCs w:val="24"/>
        </w:rPr>
        <w:t xml:space="preserve">enti affetti da COVID-19 </w:t>
      </w:r>
      <w:r w:rsidRPr="00054A4D">
        <w:rPr>
          <w:sz w:val="24"/>
          <w:szCs w:val="24"/>
        </w:rPr>
        <w:t>in forma severa si osservano livelli di D</w:t>
      </w:r>
      <w:r>
        <w:rPr>
          <w:sz w:val="24"/>
          <w:szCs w:val="24"/>
        </w:rPr>
        <w:t>-</w:t>
      </w:r>
      <w:r w:rsidRPr="00054A4D">
        <w:rPr>
          <w:sz w:val="24"/>
          <w:szCs w:val="24"/>
        </w:rPr>
        <w:t>dimero più elevati rispetto a quelli dei pazienti non gravi. Questo potrebbe essere il motivo per cui i pazienti gravi hanno maggiori probabilità di svilup</w:t>
      </w:r>
      <w:r>
        <w:rPr>
          <w:sz w:val="24"/>
          <w:szCs w:val="24"/>
        </w:rPr>
        <w:t>pare malattie cerebrovascolari.</w:t>
      </w:r>
      <w:r w:rsidRPr="00054A4D">
        <w:rPr>
          <w:sz w:val="24"/>
          <w:szCs w:val="24"/>
        </w:rPr>
        <w:t xml:space="preserve"> </w:t>
      </w:r>
    </w:p>
    <w:p w:rsidR="00054A4D" w:rsidRDefault="00054A4D" w:rsidP="00054A4D">
      <w:pPr>
        <w:spacing w:after="0"/>
        <w:ind w:left="410"/>
        <w:jc w:val="both"/>
        <w:rPr>
          <w:sz w:val="24"/>
          <w:szCs w:val="24"/>
        </w:rPr>
      </w:pPr>
      <w:r w:rsidRPr="00054A4D">
        <w:rPr>
          <w:sz w:val="24"/>
          <w:szCs w:val="24"/>
        </w:rPr>
        <w:t>Per questa ragione consigliamo:</w:t>
      </w:r>
    </w:p>
    <w:p w:rsidR="00054A4D" w:rsidRDefault="00054A4D" w:rsidP="00054A4D">
      <w:pPr>
        <w:pStyle w:val="Paragrafoelenco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054A4D">
        <w:rPr>
          <w:sz w:val="24"/>
          <w:szCs w:val="24"/>
        </w:rPr>
        <w:t xml:space="preserve">i considerare con attenzione alcuni quadri clinici caratterizzati da sintomi neurologici che potrebbero essere manifestazioni iniziali di COVID-19 ad esempio disgeusia, </w:t>
      </w:r>
      <w:r>
        <w:rPr>
          <w:sz w:val="24"/>
          <w:szCs w:val="24"/>
        </w:rPr>
        <w:t>a</w:t>
      </w:r>
      <w:r w:rsidRPr="00054A4D">
        <w:rPr>
          <w:sz w:val="24"/>
          <w:szCs w:val="24"/>
        </w:rPr>
        <w:t xml:space="preserve">nosmia cefalea, sincope </w:t>
      </w:r>
      <w:proofErr w:type="spellStart"/>
      <w:r w:rsidRPr="00054A4D">
        <w:rPr>
          <w:sz w:val="24"/>
          <w:szCs w:val="24"/>
        </w:rPr>
        <w:t>pre</w:t>
      </w:r>
      <w:proofErr w:type="spellEnd"/>
      <w:r w:rsidRPr="00054A4D">
        <w:rPr>
          <w:sz w:val="24"/>
          <w:szCs w:val="24"/>
        </w:rPr>
        <w:t>-sincope;</w:t>
      </w:r>
    </w:p>
    <w:p w:rsidR="00054A4D" w:rsidRDefault="00054A4D" w:rsidP="00054A4D">
      <w:pPr>
        <w:pStyle w:val="Paragrafoelenco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054A4D">
        <w:rPr>
          <w:sz w:val="24"/>
          <w:szCs w:val="24"/>
        </w:rPr>
        <w:t>i informare i MMG del possibile interessament</w:t>
      </w:r>
      <w:r>
        <w:rPr>
          <w:sz w:val="24"/>
          <w:szCs w:val="24"/>
        </w:rPr>
        <w:t xml:space="preserve">o del sistema nervoso centrale </w:t>
      </w:r>
      <w:r w:rsidRPr="00054A4D">
        <w:rPr>
          <w:sz w:val="24"/>
          <w:szCs w:val="24"/>
        </w:rPr>
        <w:t>anche nei pazienti affetti da forme lievi moderate di COVID-19;</w:t>
      </w:r>
    </w:p>
    <w:p w:rsidR="00054A4D" w:rsidRDefault="00054A4D" w:rsidP="00054A4D">
      <w:pPr>
        <w:pStyle w:val="Paragrafoelenco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predisporre una </w:t>
      </w:r>
      <w:r w:rsidRPr="00054A4D">
        <w:rPr>
          <w:i/>
          <w:sz w:val="24"/>
          <w:szCs w:val="24"/>
        </w:rPr>
        <w:t>sorveglianza neurologica</w:t>
      </w:r>
      <w:r w:rsidRPr="00054A4D">
        <w:rPr>
          <w:sz w:val="24"/>
          <w:szCs w:val="24"/>
        </w:rPr>
        <w:t xml:space="preserve"> dei </w:t>
      </w:r>
      <w:r>
        <w:rPr>
          <w:sz w:val="24"/>
          <w:szCs w:val="24"/>
        </w:rPr>
        <w:t>pazienti affetti da COVID19;</w:t>
      </w:r>
    </w:p>
    <w:p w:rsidR="00054A4D" w:rsidRDefault="00054A4D" w:rsidP="00054A4D">
      <w:pPr>
        <w:pStyle w:val="Paragrafoelenco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054A4D">
        <w:rPr>
          <w:sz w:val="24"/>
          <w:szCs w:val="24"/>
        </w:rPr>
        <w:t>i presidiare alcuni indici, segni clini</w:t>
      </w:r>
      <w:r>
        <w:rPr>
          <w:sz w:val="24"/>
          <w:szCs w:val="24"/>
        </w:rPr>
        <w:t xml:space="preserve">co-strumentali: </w:t>
      </w:r>
      <w:r w:rsidRPr="00054A4D">
        <w:rPr>
          <w:sz w:val="24"/>
          <w:szCs w:val="24"/>
        </w:rPr>
        <w:t>insorgenza improvvisa di febbre, tosse, difficoltà respiratorie, dispnea,</w:t>
      </w:r>
      <w:r>
        <w:rPr>
          <w:sz w:val="24"/>
          <w:szCs w:val="24"/>
        </w:rPr>
        <w:t xml:space="preserve"> ipossia, disgeusia, anosmia, </w:t>
      </w:r>
      <w:r w:rsidRPr="00054A4D">
        <w:rPr>
          <w:sz w:val="24"/>
          <w:szCs w:val="24"/>
        </w:rPr>
        <w:t xml:space="preserve">leucopenia, linfopenia, </w:t>
      </w:r>
      <w:proofErr w:type="spellStart"/>
      <w:r w:rsidRPr="00054A4D">
        <w:rPr>
          <w:sz w:val="24"/>
          <w:szCs w:val="24"/>
        </w:rPr>
        <w:t>piastrinopenia</w:t>
      </w:r>
      <w:proofErr w:type="spellEnd"/>
      <w:r w:rsidRPr="00054A4D">
        <w:rPr>
          <w:sz w:val="24"/>
          <w:szCs w:val="24"/>
        </w:rPr>
        <w:t xml:space="preserve">, aumento del CPK, LDH, D-Dimero, </w:t>
      </w:r>
      <w:proofErr w:type="spellStart"/>
      <w:r w:rsidRPr="00054A4D">
        <w:rPr>
          <w:sz w:val="24"/>
          <w:szCs w:val="24"/>
        </w:rPr>
        <w:t>desaturazione</w:t>
      </w:r>
      <w:proofErr w:type="spellEnd"/>
      <w:r w:rsidRPr="00054A4D">
        <w:rPr>
          <w:sz w:val="24"/>
          <w:szCs w:val="24"/>
        </w:rPr>
        <w:t>, ipossiemia, ipocapnia, riduzione del P/F nell</w:t>
      </w:r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emogasanalisi</w:t>
      </w:r>
      <w:proofErr w:type="spellEnd"/>
      <w:r>
        <w:rPr>
          <w:sz w:val="24"/>
          <w:szCs w:val="24"/>
        </w:rPr>
        <w:t>.</w:t>
      </w:r>
    </w:p>
    <w:p w:rsidR="00054A4D" w:rsidRPr="00054A4D" w:rsidRDefault="00054A4D" w:rsidP="00054A4D">
      <w:pPr>
        <w:pStyle w:val="Paragrafoelenco"/>
        <w:spacing w:after="0"/>
        <w:ind w:left="1130"/>
        <w:jc w:val="both"/>
        <w:rPr>
          <w:sz w:val="24"/>
          <w:szCs w:val="24"/>
        </w:rPr>
      </w:pPr>
      <w:r w:rsidRPr="00054A4D">
        <w:rPr>
          <w:sz w:val="24"/>
          <w:szCs w:val="24"/>
        </w:rPr>
        <w:t>Questi infatti possono essere suggestivi di forme latenti di infezione, nei pazienti con ictus che non vengono individuati com</w:t>
      </w:r>
      <w:r>
        <w:rPr>
          <w:sz w:val="24"/>
          <w:szCs w:val="24"/>
        </w:rPr>
        <w:t xml:space="preserve">e possibili/probabili COVID-19 </w:t>
      </w:r>
      <w:r w:rsidRPr="00054A4D">
        <w:rPr>
          <w:sz w:val="24"/>
          <w:szCs w:val="24"/>
        </w:rPr>
        <w:t>nel momento in cui eseguono il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>-triage o triage COVID-19.</w:t>
      </w:r>
      <w:r w:rsidRPr="00054A4D">
        <w:rPr>
          <w:sz w:val="24"/>
          <w:szCs w:val="24"/>
        </w:rPr>
        <w:t xml:space="preserve"> </w:t>
      </w:r>
    </w:p>
    <w:p w:rsidR="00054A4D" w:rsidRDefault="00054A4D" w:rsidP="00054A4D">
      <w:pPr>
        <w:spacing w:before="240"/>
        <w:ind w:left="410"/>
        <w:jc w:val="both"/>
        <w:rPr>
          <w:sz w:val="24"/>
          <w:szCs w:val="24"/>
        </w:rPr>
      </w:pPr>
      <w:r w:rsidRPr="00054A4D">
        <w:rPr>
          <w:sz w:val="24"/>
          <w:szCs w:val="24"/>
        </w:rPr>
        <w:t>Durante l’epidemia di COVID-19, i protocolli adottati in Cina per l’esame di pazienti con manifestazioni neurologiche, hanno considerato l'infezione da SARS</w:t>
      </w:r>
      <w:r>
        <w:rPr>
          <w:sz w:val="24"/>
          <w:szCs w:val="24"/>
        </w:rPr>
        <w:t>-</w:t>
      </w:r>
      <w:r w:rsidRPr="00054A4D">
        <w:rPr>
          <w:sz w:val="24"/>
          <w:szCs w:val="24"/>
        </w:rPr>
        <w:t>CoV-2 come una possibile diagnosi differenziale, in modo da evitare diagnosi ritardate o errate e rendere più ef</w:t>
      </w:r>
      <w:r>
        <w:rPr>
          <w:sz w:val="24"/>
          <w:szCs w:val="24"/>
        </w:rPr>
        <w:t>ficace</w:t>
      </w:r>
      <w:r w:rsidRPr="00054A4D">
        <w:rPr>
          <w:sz w:val="24"/>
          <w:szCs w:val="24"/>
        </w:rPr>
        <w:t xml:space="preserve"> la pr</w:t>
      </w:r>
      <w:r>
        <w:rPr>
          <w:sz w:val="24"/>
          <w:szCs w:val="24"/>
        </w:rPr>
        <w:t>evenzione della trasmissione.</w:t>
      </w:r>
    </w:p>
    <w:p w:rsidR="00054A4D" w:rsidRDefault="00054A4D" w:rsidP="00054A4D">
      <w:pPr>
        <w:spacing w:before="240"/>
        <w:ind w:left="410"/>
        <w:jc w:val="both"/>
        <w:rPr>
          <w:sz w:val="24"/>
          <w:szCs w:val="24"/>
        </w:rPr>
      </w:pPr>
      <w:r w:rsidRPr="00054A4D">
        <w:rPr>
          <w:sz w:val="24"/>
          <w:szCs w:val="24"/>
        </w:rPr>
        <w:lastRenderedPageBreak/>
        <w:t>Recentemente, ACE2 è stato identificato come il recettore funzionale per SARS</w:t>
      </w:r>
      <w:r>
        <w:rPr>
          <w:sz w:val="24"/>
          <w:szCs w:val="24"/>
        </w:rPr>
        <w:t>-</w:t>
      </w:r>
      <w:r w:rsidRPr="00054A4D">
        <w:rPr>
          <w:sz w:val="24"/>
          <w:szCs w:val="24"/>
        </w:rPr>
        <w:t>CoV-2</w:t>
      </w:r>
      <w:r w:rsidRPr="00054A4D">
        <w:rPr>
          <w:sz w:val="24"/>
          <w:szCs w:val="24"/>
          <w:vertAlign w:val="superscript"/>
        </w:rPr>
        <w:t>11</w:t>
      </w:r>
      <w:r w:rsidRPr="00054A4D">
        <w:rPr>
          <w:sz w:val="24"/>
          <w:szCs w:val="24"/>
        </w:rPr>
        <w:t xml:space="preserve"> presente in più organi; tra questi il sistema nervoso e i muscoli scheletrici</w:t>
      </w:r>
      <w:r w:rsidRPr="00054A4D">
        <w:rPr>
          <w:sz w:val="24"/>
          <w:szCs w:val="24"/>
          <w:vertAlign w:val="superscript"/>
        </w:rPr>
        <w:t>12</w:t>
      </w:r>
      <w:r w:rsidRPr="00054A4D">
        <w:rPr>
          <w:sz w:val="24"/>
          <w:szCs w:val="24"/>
        </w:rPr>
        <w:t>. L'espressione e la distribuzione di ACE2 ci ricordano che la SARS-CoV2 può causare alcuni sintomi neurologici attraverso meccanismi diretti o indiretti.</w:t>
      </w:r>
    </w:p>
    <w:p w:rsidR="00054A4D" w:rsidRDefault="00054A4D" w:rsidP="00054A4D">
      <w:pPr>
        <w:spacing w:before="240"/>
        <w:ind w:left="410"/>
        <w:jc w:val="both"/>
        <w:rPr>
          <w:sz w:val="24"/>
          <w:szCs w:val="24"/>
        </w:rPr>
      </w:pPr>
      <w:r w:rsidRPr="00054A4D">
        <w:rPr>
          <w:sz w:val="24"/>
          <w:szCs w:val="24"/>
        </w:rPr>
        <w:t>Pertanto, oltre ai sopra menzionati sintomi in fase acuta del COVID-19, si considerino anche alcune condizioni che possono comparire nella fase post</w:t>
      </w:r>
      <w:r>
        <w:rPr>
          <w:sz w:val="24"/>
          <w:szCs w:val="24"/>
        </w:rPr>
        <w:t>-</w:t>
      </w:r>
      <w:r w:rsidRPr="00054A4D">
        <w:rPr>
          <w:sz w:val="24"/>
          <w:szCs w:val="24"/>
        </w:rPr>
        <w:t xml:space="preserve">infettiva o durante la permanenza nella terapia </w:t>
      </w:r>
      <w:proofErr w:type="spellStart"/>
      <w:r w:rsidRPr="00054A4D">
        <w:rPr>
          <w:sz w:val="24"/>
          <w:szCs w:val="24"/>
        </w:rPr>
        <w:t>subintensiva</w:t>
      </w:r>
      <w:proofErr w:type="spellEnd"/>
      <w:r w:rsidRPr="00054A4D">
        <w:rPr>
          <w:sz w:val="24"/>
          <w:szCs w:val="24"/>
        </w:rPr>
        <w:t xml:space="preserve">/intensiva, quali miopatie e Sindrome di </w:t>
      </w:r>
      <w:proofErr w:type="spellStart"/>
      <w:r w:rsidRPr="00054A4D">
        <w:rPr>
          <w:sz w:val="24"/>
          <w:szCs w:val="24"/>
        </w:rPr>
        <w:t>Guillain-Barré</w:t>
      </w:r>
      <w:proofErr w:type="spellEnd"/>
      <w:r w:rsidRPr="00054A4D">
        <w:rPr>
          <w:sz w:val="24"/>
          <w:szCs w:val="24"/>
        </w:rPr>
        <w:t>.</w:t>
      </w:r>
    </w:p>
    <w:p w:rsidR="00645103" w:rsidRDefault="00054A4D" w:rsidP="00054A4D">
      <w:pPr>
        <w:spacing w:before="240"/>
        <w:ind w:left="41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br/>
      </w:r>
      <w:r w:rsidRPr="00054A4D">
        <w:rPr>
          <w:b/>
          <w:sz w:val="24"/>
          <w:szCs w:val="24"/>
          <w:u w:val="single"/>
        </w:rPr>
        <w:t xml:space="preserve">Interazioni farmacologiche rilevanti per possibile </w:t>
      </w:r>
      <w:proofErr w:type="spellStart"/>
      <w:r w:rsidRPr="00054A4D">
        <w:rPr>
          <w:b/>
          <w:sz w:val="24"/>
          <w:szCs w:val="24"/>
          <w:u w:val="single"/>
        </w:rPr>
        <w:t>comorbilità</w:t>
      </w:r>
      <w:proofErr w:type="spellEnd"/>
      <w:r w:rsidRPr="00054A4D">
        <w:rPr>
          <w:b/>
          <w:sz w:val="24"/>
          <w:szCs w:val="24"/>
          <w:u w:val="single"/>
        </w:rPr>
        <w:t xml:space="preserve"> COVID-19</w:t>
      </w:r>
      <w:r>
        <w:rPr>
          <w:b/>
          <w:sz w:val="24"/>
          <w:szCs w:val="24"/>
          <w:u w:val="single"/>
        </w:rPr>
        <w:t xml:space="preserve"> </w:t>
      </w:r>
      <w:r w:rsidRPr="00054A4D">
        <w:rPr>
          <w:b/>
          <w:sz w:val="24"/>
          <w:szCs w:val="24"/>
          <w:u w:val="single"/>
        </w:rPr>
        <w:t>e patologia cerebrovascolare.</w:t>
      </w:r>
    </w:p>
    <w:p w:rsidR="00054A4D" w:rsidRDefault="00054A4D" w:rsidP="00054A4D">
      <w:pPr>
        <w:spacing w:before="240"/>
        <w:ind w:left="410"/>
        <w:jc w:val="both"/>
        <w:rPr>
          <w:sz w:val="24"/>
          <w:szCs w:val="24"/>
        </w:rPr>
      </w:pPr>
      <w:r w:rsidRPr="00054A4D">
        <w:rPr>
          <w:sz w:val="24"/>
          <w:szCs w:val="24"/>
        </w:rPr>
        <w:t>I farmaci al momento utilizza</w:t>
      </w:r>
      <w:r>
        <w:rPr>
          <w:sz w:val="24"/>
          <w:szCs w:val="24"/>
        </w:rPr>
        <w:t>ti nei pazienti COVID-19 sono:</w:t>
      </w:r>
    </w:p>
    <w:p w:rsidR="00054A4D" w:rsidRDefault="00054A4D" w:rsidP="00054A4D">
      <w:pPr>
        <w:pStyle w:val="Paragrafoelenco"/>
        <w:numPr>
          <w:ilvl w:val="0"/>
          <w:numId w:val="13"/>
        </w:numPr>
        <w:spacing w:before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Lopinavir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ritonavir</w:t>
      </w:r>
      <w:proofErr w:type="spellEnd"/>
    </w:p>
    <w:p w:rsidR="00054A4D" w:rsidRDefault="00054A4D" w:rsidP="00054A4D">
      <w:pPr>
        <w:pStyle w:val="Paragrafoelenco"/>
        <w:numPr>
          <w:ilvl w:val="0"/>
          <w:numId w:val="13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Clorochina</w:t>
      </w:r>
    </w:p>
    <w:p w:rsidR="00054A4D" w:rsidRDefault="00054A4D" w:rsidP="00054A4D">
      <w:pPr>
        <w:pStyle w:val="Paragrafoelenco"/>
        <w:numPr>
          <w:ilvl w:val="0"/>
          <w:numId w:val="13"/>
        </w:numPr>
        <w:spacing w:before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Remdesevir</w:t>
      </w:r>
      <w:proofErr w:type="spellEnd"/>
    </w:p>
    <w:p w:rsidR="00054A4D" w:rsidRPr="00054A4D" w:rsidRDefault="00054A4D" w:rsidP="00054A4D">
      <w:pPr>
        <w:pStyle w:val="Paragrafoelenco"/>
        <w:numPr>
          <w:ilvl w:val="0"/>
          <w:numId w:val="13"/>
        </w:numPr>
        <w:spacing w:before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Tocilizumab</w:t>
      </w:r>
      <w:proofErr w:type="spellEnd"/>
    </w:p>
    <w:p w:rsidR="00054A4D" w:rsidRDefault="00054A4D" w:rsidP="00054A4D">
      <w:pPr>
        <w:spacing w:before="240"/>
        <w:ind w:left="410"/>
        <w:jc w:val="both"/>
        <w:rPr>
          <w:sz w:val="24"/>
          <w:szCs w:val="24"/>
        </w:rPr>
      </w:pPr>
      <w:r w:rsidRPr="00054A4D">
        <w:rPr>
          <w:sz w:val="24"/>
          <w:szCs w:val="24"/>
        </w:rPr>
        <w:t>Le seguenti interazioni con farmaci neurologici comunemente utilizzati, sono da considerare in quanto potenzialmente rilevanti per il paziente con patologia cerebrovascolare:</w:t>
      </w:r>
    </w:p>
    <w:p w:rsidR="00167D4A" w:rsidRDefault="00054A4D" w:rsidP="00054A4D">
      <w:pPr>
        <w:pStyle w:val="Paragrafoelenco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proofErr w:type="spellStart"/>
      <w:r w:rsidRPr="00054A4D">
        <w:rPr>
          <w:b/>
          <w:sz w:val="24"/>
          <w:szCs w:val="24"/>
        </w:rPr>
        <w:t>Lopinavir</w:t>
      </w:r>
      <w:proofErr w:type="spellEnd"/>
      <w:r w:rsidRPr="00054A4D">
        <w:rPr>
          <w:b/>
          <w:sz w:val="24"/>
          <w:szCs w:val="24"/>
        </w:rPr>
        <w:t>/ritonavir</w:t>
      </w:r>
      <w:r w:rsidRPr="00054A4D">
        <w:rPr>
          <w:sz w:val="24"/>
          <w:szCs w:val="24"/>
          <w:vertAlign w:val="superscript"/>
        </w:rPr>
        <w:t>13</w:t>
      </w:r>
      <w:r w:rsidRPr="00054A4D">
        <w:rPr>
          <w:sz w:val="24"/>
          <w:szCs w:val="24"/>
        </w:rPr>
        <w:t xml:space="preserve">: durante l’assunzione è controindicata la terapia con </w:t>
      </w:r>
      <w:proofErr w:type="spellStart"/>
      <w:r w:rsidRPr="00054A4D">
        <w:rPr>
          <w:sz w:val="24"/>
          <w:szCs w:val="24"/>
          <w:u w:val="single"/>
        </w:rPr>
        <w:t>amiodarone</w:t>
      </w:r>
      <w:proofErr w:type="spellEnd"/>
      <w:r w:rsidRPr="00054A4D">
        <w:rPr>
          <w:sz w:val="24"/>
          <w:szCs w:val="24"/>
          <w:u w:val="single"/>
        </w:rPr>
        <w:t xml:space="preserve">, </w:t>
      </w:r>
      <w:proofErr w:type="spellStart"/>
      <w:r w:rsidRPr="00054A4D">
        <w:rPr>
          <w:sz w:val="24"/>
          <w:szCs w:val="24"/>
          <w:u w:val="single"/>
        </w:rPr>
        <w:t>lovastatina</w:t>
      </w:r>
      <w:proofErr w:type="spellEnd"/>
      <w:r w:rsidRPr="00054A4D">
        <w:rPr>
          <w:sz w:val="24"/>
          <w:szCs w:val="24"/>
          <w:u w:val="single"/>
        </w:rPr>
        <w:t xml:space="preserve">, </w:t>
      </w:r>
      <w:proofErr w:type="spellStart"/>
      <w:r w:rsidRPr="00054A4D">
        <w:rPr>
          <w:sz w:val="24"/>
          <w:szCs w:val="24"/>
          <w:u w:val="single"/>
        </w:rPr>
        <w:t>simvastatina</w:t>
      </w:r>
      <w:proofErr w:type="spellEnd"/>
      <w:r w:rsidRPr="00054A4D">
        <w:rPr>
          <w:sz w:val="24"/>
          <w:szCs w:val="24"/>
        </w:rPr>
        <w:t xml:space="preserve"> ed è necessaria particolare attenzione nella co-somministrazione con farmaci </w:t>
      </w:r>
      <w:r w:rsidRPr="00167D4A">
        <w:rPr>
          <w:sz w:val="24"/>
          <w:szCs w:val="24"/>
          <w:u w:val="single"/>
        </w:rPr>
        <w:t>anticoagulanti</w:t>
      </w:r>
      <w:r w:rsidRPr="00054A4D">
        <w:rPr>
          <w:sz w:val="24"/>
          <w:szCs w:val="24"/>
        </w:rPr>
        <w:t xml:space="preserve"> (in particolare </w:t>
      </w:r>
      <w:proofErr w:type="spellStart"/>
      <w:r w:rsidRPr="00054A4D">
        <w:rPr>
          <w:sz w:val="24"/>
          <w:szCs w:val="24"/>
        </w:rPr>
        <w:t>warfarin</w:t>
      </w:r>
      <w:proofErr w:type="spellEnd"/>
      <w:r w:rsidRPr="00054A4D">
        <w:rPr>
          <w:sz w:val="24"/>
          <w:szCs w:val="24"/>
        </w:rPr>
        <w:t xml:space="preserve">, </w:t>
      </w:r>
      <w:proofErr w:type="spellStart"/>
      <w:r w:rsidRPr="00054A4D">
        <w:rPr>
          <w:sz w:val="24"/>
          <w:szCs w:val="24"/>
        </w:rPr>
        <w:t>rivaroxaban</w:t>
      </w:r>
      <w:proofErr w:type="spellEnd"/>
      <w:r w:rsidRPr="00054A4D">
        <w:rPr>
          <w:sz w:val="24"/>
          <w:szCs w:val="24"/>
        </w:rPr>
        <w:t xml:space="preserve">), farmaci </w:t>
      </w:r>
      <w:r w:rsidRPr="00167D4A">
        <w:rPr>
          <w:sz w:val="24"/>
          <w:szCs w:val="24"/>
          <w:u w:val="single"/>
        </w:rPr>
        <w:t>antiepilettici</w:t>
      </w:r>
      <w:r w:rsidRPr="00054A4D">
        <w:rPr>
          <w:sz w:val="24"/>
          <w:szCs w:val="24"/>
        </w:rPr>
        <w:t xml:space="preserve"> (</w:t>
      </w:r>
      <w:proofErr w:type="spellStart"/>
      <w:r w:rsidRPr="00054A4D">
        <w:rPr>
          <w:sz w:val="24"/>
          <w:szCs w:val="24"/>
        </w:rPr>
        <w:t>carbamazepina</w:t>
      </w:r>
      <w:proofErr w:type="spellEnd"/>
      <w:r w:rsidRPr="00054A4D">
        <w:rPr>
          <w:sz w:val="24"/>
          <w:szCs w:val="24"/>
        </w:rPr>
        <w:t xml:space="preserve">, </w:t>
      </w:r>
      <w:proofErr w:type="spellStart"/>
      <w:r w:rsidRPr="00054A4D">
        <w:rPr>
          <w:sz w:val="24"/>
          <w:szCs w:val="24"/>
        </w:rPr>
        <w:t>fenitoina</w:t>
      </w:r>
      <w:proofErr w:type="spellEnd"/>
      <w:r w:rsidRPr="00054A4D">
        <w:rPr>
          <w:sz w:val="24"/>
          <w:szCs w:val="24"/>
        </w:rPr>
        <w:t xml:space="preserve">, </w:t>
      </w:r>
      <w:proofErr w:type="spellStart"/>
      <w:r w:rsidRPr="00054A4D">
        <w:rPr>
          <w:sz w:val="24"/>
          <w:szCs w:val="24"/>
        </w:rPr>
        <w:t>fenoba</w:t>
      </w:r>
      <w:r w:rsidR="00165E74">
        <w:rPr>
          <w:sz w:val="24"/>
          <w:szCs w:val="24"/>
        </w:rPr>
        <w:t>rbital</w:t>
      </w:r>
      <w:proofErr w:type="spellEnd"/>
      <w:r w:rsidR="00165E74">
        <w:rPr>
          <w:sz w:val="24"/>
          <w:szCs w:val="24"/>
        </w:rPr>
        <w:t xml:space="preserve">, </w:t>
      </w:r>
      <w:proofErr w:type="spellStart"/>
      <w:r w:rsidR="00165E74">
        <w:rPr>
          <w:sz w:val="24"/>
          <w:szCs w:val="24"/>
        </w:rPr>
        <w:t>lamotrigina</w:t>
      </w:r>
      <w:proofErr w:type="spellEnd"/>
      <w:r w:rsidR="00165E74">
        <w:rPr>
          <w:sz w:val="24"/>
          <w:szCs w:val="24"/>
        </w:rPr>
        <w:t xml:space="preserve"> e </w:t>
      </w:r>
      <w:proofErr w:type="spellStart"/>
      <w:r w:rsidR="00165E74">
        <w:rPr>
          <w:sz w:val="24"/>
          <w:szCs w:val="24"/>
        </w:rPr>
        <w:t>valproato</w:t>
      </w:r>
      <w:proofErr w:type="spellEnd"/>
      <w:r w:rsidRPr="00054A4D">
        <w:rPr>
          <w:sz w:val="24"/>
          <w:szCs w:val="24"/>
        </w:rPr>
        <w:t xml:space="preserve">) ed </w:t>
      </w:r>
      <w:r w:rsidRPr="00167D4A">
        <w:rPr>
          <w:sz w:val="24"/>
          <w:szCs w:val="24"/>
          <w:u w:val="single"/>
        </w:rPr>
        <w:t>altre statine</w:t>
      </w:r>
      <w:r w:rsidRPr="00054A4D">
        <w:rPr>
          <w:sz w:val="24"/>
          <w:szCs w:val="24"/>
        </w:rPr>
        <w:t xml:space="preserve"> (</w:t>
      </w:r>
      <w:proofErr w:type="spellStart"/>
      <w:r w:rsidRPr="00054A4D">
        <w:rPr>
          <w:sz w:val="24"/>
          <w:szCs w:val="24"/>
        </w:rPr>
        <w:t>atorvastatina</w:t>
      </w:r>
      <w:proofErr w:type="spellEnd"/>
      <w:r w:rsidRPr="00054A4D">
        <w:rPr>
          <w:sz w:val="24"/>
          <w:szCs w:val="24"/>
        </w:rPr>
        <w:t xml:space="preserve">, </w:t>
      </w:r>
      <w:proofErr w:type="spellStart"/>
      <w:r w:rsidRPr="00054A4D">
        <w:rPr>
          <w:sz w:val="24"/>
          <w:szCs w:val="24"/>
        </w:rPr>
        <w:t>rosuvastatina</w:t>
      </w:r>
      <w:proofErr w:type="spellEnd"/>
      <w:r w:rsidRPr="00054A4D">
        <w:rPr>
          <w:sz w:val="24"/>
          <w:szCs w:val="24"/>
        </w:rPr>
        <w:t xml:space="preserve">) che possono essere necessari nel paziente con </w:t>
      </w:r>
      <w:proofErr w:type="spellStart"/>
      <w:r w:rsidRPr="00054A4D">
        <w:rPr>
          <w:sz w:val="24"/>
          <w:szCs w:val="24"/>
        </w:rPr>
        <w:t>comorbilità</w:t>
      </w:r>
      <w:proofErr w:type="spellEnd"/>
      <w:r w:rsidRPr="00054A4D">
        <w:rPr>
          <w:sz w:val="24"/>
          <w:szCs w:val="24"/>
        </w:rPr>
        <w:t xml:space="preserve"> cerebrovascolare. In questi pazienti va posta particolare attenzione al </w:t>
      </w:r>
      <w:r w:rsidRPr="00167D4A">
        <w:rPr>
          <w:sz w:val="24"/>
          <w:szCs w:val="24"/>
          <w:u w:val="single"/>
        </w:rPr>
        <w:t>monitoraggio della glicemia</w:t>
      </w:r>
      <w:r w:rsidRPr="00054A4D">
        <w:rPr>
          <w:sz w:val="24"/>
          <w:szCs w:val="24"/>
        </w:rPr>
        <w:t>.</w:t>
      </w:r>
    </w:p>
    <w:p w:rsidR="00167D4A" w:rsidRDefault="00054A4D" w:rsidP="00054A4D">
      <w:pPr>
        <w:pStyle w:val="Paragrafoelenco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r w:rsidRPr="00167D4A">
        <w:rPr>
          <w:b/>
          <w:sz w:val="24"/>
          <w:szCs w:val="24"/>
        </w:rPr>
        <w:t>Clorochina</w:t>
      </w:r>
      <w:r w:rsidRPr="00167D4A">
        <w:rPr>
          <w:sz w:val="24"/>
          <w:szCs w:val="24"/>
          <w:vertAlign w:val="superscript"/>
        </w:rPr>
        <w:t>14</w:t>
      </w:r>
      <w:r w:rsidRPr="00054A4D">
        <w:rPr>
          <w:sz w:val="24"/>
          <w:szCs w:val="24"/>
        </w:rPr>
        <w:t xml:space="preserve">: durante l’assunzione ed in caso di uso concomitante di farmaci antiaritmici (beta bloccanti) è opportuno monitorare il QT; nei pazienti in terapia con farmaci </w:t>
      </w:r>
      <w:r w:rsidRPr="00167D4A">
        <w:rPr>
          <w:sz w:val="24"/>
          <w:szCs w:val="24"/>
          <w:u w:val="single"/>
        </w:rPr>
        <w:t>antiepilettici</w:t>
      </w:r>
      <w:r w:rsidRPr="00054A4D">
        <w:rPr>
          <w:sz w:val="24"/>
          <w:szCs w:val="24"/>
        </w:rPr>
        <w:t xml:space="preserve"> (acido </w:t>
      </w:r>
      <w:proofErr w:type="spellStart"/>
      <w:r w:rsidRPr="00054A4D">
        <w:rPr>
          <w:sz w:val="24"/>
          <w:szCs w:val="24"/>
        </w:rPr>
        <w:t>valproico</w:t>
      </w:r>
      <w:proofErr w:type="spellEnd"/>
      <w:r w:rsidRPr="00054A4D">
        <w:rPr>
          <w:sz w:val="24"/>
          <w:szCs w:val="24"/>
        </w:rPr>
        <w:t xml:space="preserve">, </w:t>
      </w:r>
      <w:proofErr w:type="spellStart"/>
      <w:r w:rsidRPr="00054A4D">
        <w:rPr>
          <w:sz w:val="24"/>
          <w:szCs w:val="24"/>
        </w:rPr>
        <w:t>carbamazepina</w:t>
      </w:r>
      <w:proofErr w:type="spellEnd"/>
      <w:r w:rsidRPr="00054A4D">
        <w:rPr>
          <w:sz w:val="24"/>
          <w:szCs w:val="24"/>
        </w:rPr>
        <w:t xml:space="preserve">, </w:t>
      </w:r>
      <w:proofErr w:type="spellStart"/>
      <w:r w:rsidRPr="00054A4D">
        <w:rPr>
          <w:sz w:val="24"/>
          <w:szCs w:val="24"/>
        </w:rPr>
        <w:t>fenobarbital</w:t>
      </w:r>
      <w:proofErr w:type="spellEnd"/>
      <w:r w:rsidRPr="00054A4D">
        <w:rPr>
          <w:sz w:val="24"/>
          <w:szCs w:val="24"/>
        </w:rPr>
        <w:t xml:space="preserve">, </w:t>
      </w:r>
      <w:proofErr w:type="spellStart"/>
      <w:r w:rsidRPr="00054A4D">
        <w:rPr>
          <w:sz w:val="24"/>
          <w:szCs w:val="24"/>
        </w:rPr>
        <w:t>fenitoina</w:t>
      </w:r>
      <w:proofErr w:type="spellEnd"/>
      <w:r w:rsidRPr="00054A4D">
        <w:rPr>
          <w:sz w:val="24"/>
          <w:szCs w:val="24"/>
        </w:rPr>
        <w:t>) la clorochina potrebbe abbassare la soglia epilettogena e quindi potrebbero essere ne</w:t>
      </w:r>
      <w:r w:rsidR="00167D4A">
        <w:rPr>
          <w:sz w:val="24"/>
          <w:szCs w:val="24"/>
        </w:rPr>
        <w:t>cessari degli aggiustamenti.</w:t>
      </w:r>
    </w:p>
    <w:p w:rsidR="00167D4A" w:rsidRDefault="00054A4D" w:rsidP="00054A4D">
      <w:pPr>
        <w:pStyle w:val="Paragrafoelenco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proofErr w:type="spellStart"/>
      <w:r w:rsidRPr="00167D4A">
        <w:rPr>
          <w:b/>
          <w:sz w:val="24"/>
          <w:szCs w:val="24"/>
        </w:rPr>
        <w:t>Tocilizumab</w:t>
      </w:r>
      <w:proofErr w:type="spellEnd"/>
      <w:r w:rsidRPr="00054A4D">
        <w:rPr>
          <w:sz w:val="24"/>
          <w:szCs w:val="24"/>
        </w:rPr>
        <w:t xml:space="preserve">: durante l’assunzione, l’espressione di enzimi epatici quali CYP450 può essere invertita; pertanto coloro che sono  in trattamento con farmaci il cui dosaggio deve essere aggiustato su base individuale e che sono metabolizzati mediante CYP450 3A4, 1A2 o 2C9 (quali </w:t>
      </w:r>
      <w:proofErr w:type="spellStart"/>
      <w:r w:rsidRPr="00167D4A">
        <w:rPr>
          <w:sz w:val="24"/>
          <w:szCs w:val="24"/>
          <w:u w:val="single"/>
        </w:rPr>
        <w:t>atorvastatina</w:t>
      </w:r>
      <w:proofErr w:type="spellEnd"/>
      <w:r w:rsidRPr="00167D4A">
        <w:rPr>
          <w:sz w:val="24"/>
          <w:szCs w:val="24"/>
          <w:u w:val="single"/>
        </w:rPr>
        <w:t xml:space="preserve">, bloccanti dei canali del calcio, teofillina, </w:t>
      </w:r>
      <w:proofErr w:type="spellStart"/>
      <w:r w:rsidRPr="00167D4A">
        <w:rPr>
          <w:sz w:val="24"/>
          <w:szCs w:val="24"/>
          <w:u w:val="single"/>
        </w:rPr>
        <w:t>warfarin</w:t>
      </w:r>
      <w:proofErr w:type="spellEnd"/>
      <w:r w:rsidRPr="00167D4A">
        <w:rPr>
          <w:sz w:val="24"/>
          <w:szCs w:val="24"/>
          <w:u w:val="single"/>
        </w:rPr>
        <w:t xml:space="preserve">, </w:t>
      </w:r>
      <w:proofErr w:type="spellStart"/>
      <w:r w:rsidRPr="00167D4A">
        <w:rPr>
          <w:sz w:val="24"/>
          <w:szCs w:val="24"/>
          <w:u w:val="single"/>
        </w:rPr>
        <w:t>fenitoina</w:t>
      </w:r>
      <w:proofErr w:type="spellEnd"/>
      <w:r w:rsidRPr="00167D4A">
        <w:rPr>
          <w:sz w:val="24"/>
          <w:szCs w:val="24"/>
          <w:u w:val="single"/>
        </w:rPr>
        <w:t>, ciclosporina o benzodiazepine</w:t>
      </w:r>
      <w:r w:rsidRPr="00054A4D">
        <w:rPr>
          <w:sz w:val="24"/>
          <w:szCs w:val="24"/>
        </w:rPr>
        <w:t>) devono essere monitorati, poiché potrebbe essere necessario un incremento della dose per mantenere l’effetto terapeutico</w:t>
      </w:r>
      <w:r w:rsidRPr="00167D4A">
        <w:rPr>
          <w:sz w:val="24"/>
          <w:szCs w:val="24"/>
          <w:vertAlign w:val="superscript"/>
        </w:rPr>
        <w:t>15</w:t>
      </w:r>
      <w:r w:rsidRPr="00054A4D">
        <w:rPr>
          <w:sz w:val="24"/>
          <w:szCs w:val="24"/>
        </w:rPr>
        <w:t>.</w:t>
      </w:r>
    </w:p>
    <w:p w:rsidR="00DE0195" w:rsidRDefault="00054A4D" w:rsidP="00DE0195">
      <w:pPr>
        <w:pStyle w:val="Paragrafoelenco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r w:rsidRPr="00054A4D">
        <w:rPr>
          <w:sz w:val="24"/>
          <w:szCs w:val="24"/>
        </w:rPr>
        <w:t xml:space="preserve">In generale consigliamo di sostituire la terapia con </w:t>
      </w:r>
      <w:r w:rsidRPr="00167D4A">
        <w:rPr>
          <w:b/>
          <w:sz w:val="24"/>
          <w:szCs w:val="24"/>
        </w:rPr>
        <w:t>dicumarolici e NAO</w:t>
      </w:r>
      <w:r w:rsidRPr="00054A4D">
        <w:rPr>
          <w:sz w:val="24"/>
          <w:szCs w:val="24"/>
        </w:rPr>
        <w:t xml:space="preserve"> con </w:t>
      </w:r>
      <w:r w:rsidRPr="00167D4A">
        <w:rPr>
          <w:b/>
          <w:sz w:val="24"/>
          <w:szCs w:val="24"/>
        </w:rPr>
        <w:t>eparine a basso peso molecolare</w:t>
      </w:r>
      <w:r w:rsidRPr="00054A4D">
        <w:rPr>
          <w:sz w:val="24"/>
          <w:szCs w:val="24"/>
        </w:rPr>
        <w:t>, durante il periodo di trattamento con i farmaci sopramenzionati utilizzati per infezione COVID-19.</w:t>
      </w:r>
    </w:p>
    <w:p w:rsidR="003101D3" w:rsidRDefault="003101D3" w:rsidP="003101D3">
      <w:pPr>
        <w:spacing w:before="240"/>
        <w:jc w:val="both"/>
        <w:rPr>
          <w:sz w:val="24"/>
          <w:szCs w:val="24"/>
        </w:rPr>
      </w:pPr>
    </w:p>
    <w:p w:rsidR="003101D3" w:rsidRPr="00AB052C" w:rsidRDefault="003101D3" w:rsidP="003101D3">
      <w:pPr>
        <w:spacing w:before="240"/>
        <w:jc w:val="both"/>
        <w:rPr>
          <w:i/>
        </w:rPr>
      </w:pPr>
      <w:r w:rsidRPr="00AB052C">
        <w:rPr>
          <w:i/>
          <w:iCs/>
          <w:sz w:val="18"/>
          <w:szCs w:val="18"/>
        </w:rPr>
        <w:lastRenderedPageBreak/>
        <w:t xml:space="preserve">La “Società dei Neurologi, Neurochirurghi e </w:t>
      </w:r>
      <w:proofErr w:type="spellStart"/>
      <w:r w:rsidRPr="00AB052C">
        <w:rPr>
          <w:i/>
          <w:iCs/>
          <w:sz w:val="18"/>
          <w:szCs w:val="18"/>
        </w:rPr>
        <w:t>Neuroradiologi</w:t>
      </w:r>
      <w:proofErr w:type="spellEnd"/>
      <w:r w:rsidRPr="00AB052C">
        <w:rPr>
          <w:i/>
          <w:iCs/>
          <w:sz w:val="18"/>
          <w:szCs w:val="18"/>
        </w:rPr>
        <w:t xml:space="preserve"> Ospedalieri”</w:t>
      </w:r>
      <w:r w:rsidRPr="00AB052C">
        <w:rPr>
          <w:i/>
          <w:sz w:val="18"/>
          <w:szCs w:val="18"/>
        </w:rPr>
        <w:t> (acronimo S.N.O.) nasce il 22 maggio 1960 quando alcuni neurologi e neurochirurghi ospedalieri fondarono un’associazione medica di categoria in grado di riunire operatori sanitari. Scopo dell’associazione quello di </w:t>
      </w:r>
      <w:r w:rsidRPr="00AB052C">
        <w:rPr>
          <w:i/>
          <w:iCs/>
          <w:sz w:val="18"/>
          <w:szCs w:val="18"/>
        </w:rPr>
        <w:t>difendere e tutelare il prestigio e gli interessi sindacali e professionali </w:t>
      </w:r>
      <w:r w:rsidRPr="00AB052C">
        <w:rPr>
          <w:i/>
          <w:sz w:val="18"/>
          <w:szCs w:val="18"/>
        </w:rPr>
        <w:t xml:space="preserve">degli specialisti </w:t>
      </w:r>
      <w:r w:rsidRPr="00AB052C">
        <w:rPr>
          <w:i/>
          <w:iCs/>
          <w:sz w:val="18"/>
          <w:szCs w:val="18"/>
        </w:rPr>
        <w:t xml:space="preserve">studiosi del sistema nervoso e </w:t>
      </w:r>
      <w:r w:rsidRPr="00AB052C">
        <w:rPr>
          <w:i/>
          <w:sz w:val="18"/>
          <w:szCs w:val="18"/>
        </w:rPr>
        <w:t>migliorare</w:t>
      </w:r>
      <w:r w:rsidRPr="00AB052C">
        <w:rPr>
          <w:i/>
          <w:iCs/>
          <w:sz w:val="18"/>
          <w:szCs w:val="18"/>
        </w:rPr>
        <w:t> i vincoli di solidarietà e di amicizia</w:t>
      </w:r>
      <w:r w:rsidRPr="00AB052C">
        <w:rPr>
          <w:i/>
          <w:sz w:val="18"/>
          <w:szCs w:val="18"/>
        </w:rPr>
        <w:t>, facilitare i rapporti con le altre categorie mediche, e</w:t>
      </w:r>
      <w:r w:rsidRPr="00AB052C">
        <w:rPr>
          <w:i/>
          <w:iCs/>
          <w:sz w:val="18"/>
          <w:szCs w:val="18"/>
        </w:rPr>
        <w:t> pianificare</w:t>
      </w:r>
      <w:r w:rsidRPr="00AB052C">
        <w:rPr>
          <w:i/>
          <w:sz w:val="18"/>
          <w:szCs w:val="18"/>
        </w:rPr>
        <w:t> le necessità regionali relative allo studio e alla terapia dei malati del sistema nervoso a livello ospedaliero. Finalità ultima: </w:t>
      </w:r>
      <w:r w:rsidRPr="00AB052C">
        <w:rPr>
          <w:i/>
          <w:iCs/>
          <w:sz w:val="18"/>
          <w:szCs w:val="18"/>
        </w:rPr>
        <w:t>facilitare ed accelerare il progresso tecnico e assistenziale dei Reparti Ospedalieri della Nazione.</w:t>
      </w:r>
      <w:r w:rsidRPr="00AB052C">
        <w:rPr>
          <w:i/>
        </w:rPr>
        <w:t xml:space="preserve"> </w:t>
      </w:r>
    </w:p>
    <w:p w:rsidR="003101D3" w:rsidRDefault="00083F8E" w:rsidP="003101D3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AC0F5C3" wp14:editId="67A1298E">
            <wp:simplePos x="0" y="0"/>
            <wp:positionH relativeFrom="margin">
              <wp:posOffset>4464685</wp:posOffset>
            </wp:positionH>
            <wp:positionV relativeFrom="margin">
              <wp:posOffset>1024890</wp:posOffset>
            </wp:positionV>
            <wp:extent cx="1895475" cy="695325"/>
            <wp:effectExtent l="0" t="0" r="9525" b="9525"/>
            <wp:wrapSquare wrapText="bothSides"/>
            <wp:docPr id="3" name="Immagine 3" descr="F:\roma sno\More_Blocchetto_segr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:\roma sno\More_Blocchetto_segr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1D3">
        <w:t xml:space="preserve">More Comunicazione: </w:t>
      </w:r>
      <w:hyperlink r:id="rId8" w:history="1">
        <w:r w:rsidR="003101D3">
          <w:rPr>
            <w:color w:val="0563C1"/>
            <w:u w:val="single"/>
          </w:rPr>
          <w:t>info@morecomunicazione.it</w:t>
        </w:r>
      </w:hyperlink>
      <w:r w:rsidR="003101D3">
        <w:t xml:space="preserve"> – Tel. 0687678154 </w:t>
      </w:r>
    </w:p>
    <w:p w:rsidR="003101D3" w:rsidRDefault="003101D3" w:rsidP="003101D3">
      <w:pPr>
        <w:jc w:val="both"/>
      </w:pPr>
      <w:r>
        <w:t>Addetto Stampa: Alessandro Genitori – Tel. 3496852022</w:t>
      </w:r>
    </w:p>
    <w:p w:rsidR="003101D3" w:rsidRPr="00AB052C" w:rsidRDefault="003101D3" w:rsidP="003101D3">
      <w:pPr>
        <w:jc w:val="both"/>
        <w:rPr>
          <w:lang w:val="fr-FR"/>
        </w:rPr>
      </w:pPr>
      <w:r>
        <w:rPr>
          <w:lang w:val="fr-FR"/>
        </w:rPr>
        <w:t>e-</w:t>
      </w:r>
      <w:proofErr w:type="gramStart"/>
      <w:r>
        <w:rPr>
          <w:lang w:val="fr-FR"/>
        </w:rPr>
        <w:t>Mail:</w:t>
      </w:r>
      <w:proofErr w:type="gramEnd"/>
      <w:r>
        <w:rPr>
          <w:lang w:val="fr-FR"/>
        </w:rPr>
        <w:t xml:space="preserve"> ufficiostampa@snoitalia.org</w:t>
      </w:r>
    </w:p>
    <w:p w:rsidR="003101D3" w:rsidRPr="003101D3" w:rsidRDefault="003101D3" w:rsidP="003101D3">
      <w:pPr>
        <w:spacing w:before="240"/>
        <w:jc w:val="both"/>
        <w:rPr>
          <w:sz w:val="24"/>
          <w:szCs w:val="24"/>
        </w:rPr>
      </w:pPr>
    </w:p>
    <w:p w:rsidR="00167D4A" w:rsidRPr="00167D4A" w:rsidRDefault="00DE0195" w:rsidP="00DE0195">
      <w:pPr>
        <w:rPr>
          <w:b/>
          <w:sz w:val="20"/>
          <w:szCs w:val="20"/>
        </w:rPr>
      </w:pPr>
      <w:r>
        <w:rPr>
          <w:sz w:val="24"/>
          <w:szCs w:val="24"/>
        </w:rPr>
        <w:br w:type="page"/>
      </w:r>
      <w:r w:rsidR="00167D4A">
        <w:rPr>
          <w:b/>
          <w:sz w:val="20"/>
          <w:szCs w:val="20"/>
        </w:rPr>
        <w:lastRenderedPageBreak/>
        <w:t xml:space="preserve">Bibliografia  </w:t>
      </w:r>
    </w:p>
    <w:p w:rsid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18"/>
          <w:szCs w:val="20"/>
          <w:vertAlign w:val="superscript"/>
        </w:rPr>
        <w:t>1</w:t>
      </w:r>
      <w:r w:rsidRPr="00167D4A">
        <w:rPr>
          <w:sz w:val="20"/>
          <w:szCs w:val="20"/>
        </w:rPr>
        <w:t xml:space="preserve">Rosenbaum L. </w:t>
      </w:r>
      <w:proofErr w:type="spellStart"/>
      <w:r w:rsidRPr="00167D4A">
        <w:rPr>
          <w:sz w:val="20"/>
          <w:szCs w:val="20"/>
        </w:rPr>
        <w:t>Facing</w:t>
      </w:r>
      <w:proofErr w:type="spellEnd"/>
      <w:r w:rsidRPr="00167D4A">
        <w:rPr>
          <w:sz w:val="20"/>
          <w:szCs w:val="20"/>
        </w:rPr>
        <w:t xml:space="preserve"> Covid-19 in </w:t>
      </w:r>
      <w:proofErr w:type="spellStart"/>
      <w:r w:rsidRPr="00167D4A">
        <w:rPr>
          <w:sz w:val="20"/>
          <w:szCs w:val="20"/>
        </w:rPr>
        <w:t>Italy</w:t>
      </w:r>
      <w:proofErr w:type="spellEnd"/>
      <w:r w:rsidRPr="00167D4A">
        <w:rPr>
          <w:sz w:val="20"/>
          <w:szCs w:val="20"/>
        </w:rPr>
        <w:t xml:space="preserve"> — </w:t>
      </w:r>
      <w:proofErr w:type="spellStart"/>
      <w:r w:rsidRPr="00167D4A">
        <w:rPr>
          <w:sz w:val="20"/>
          <w:szCs w:val="20"/>
        </w:rPr>
        <w:t>Ethics</w:t>
      </w:r>
      <w:proofErr w:type="spellEnd"/>
      <w:r w:rsidRPr="00167D4A">
        <w:rPr>
          <w:sz w:val="20"/>
          <w:szCs w:val="20"/>
        </w:rPr>
        <w:t xml:space="preserve">, </w:t>
      </w:r>
      <w:proofErr w:type="spellStart"/>
      <w:r w:rsidRPr="00167D4A">
        <w:rPr>
          <w:sz w:val="20"/>
          <w:szCs w:val="20"/>
        </w:rPr>
        <w:t>Logistics</w:t>
      </w:r>
      <w:proofErr w:type="spellEnd"/>
      <w:r w:rsidRPr="00167D4A">
        <w:rPr>
          <w:sz w:val="20"/>
          <w:szCs w:val="20"/>
        </w:rPr>
        <w:t xml:space="preserve">, and </w:t>
      </w:r>
      <w:proofErr w:type="spellStart"/>
      <w:r w:rsidRPr="00167D4A">
        <w:rPr>
          <w:sz w:val="20"/>
          <w:szCs w:val="20"/>
        </w:rPr>
        <w:t>Therapeutics</w:t>
      </w:r>
      <w:proofErr w:type="spellEnd"/>
      <w:r w:rsidRPr="00167D4A">
        <w:rPr>
          <w:sz w:val="20"/>
          <w:szCs w:val="20"/>
        </w:rPr>
        <w:t xml:space="preserve"> on the </w:t>
      </w:r>
      <w:proofErr w:type="spellStart"/>
      <w:r w:rsidRPr="00167D4A">
        <w:rPr>
          <w:sz w:val="20"/>
          <w:szCs w:val="20"/>
        </w:rPr>
        <w:t>Epidemic’s</w:t>
      </w:r>
      <w:proofErr w:type="spellEnd"/>
      <w:r w:rsidRPr="00167D4A">
        <w:rPr>
          <w:sz w:val="20"/>
          <w:szCs w:val="20"/>
        </w:rPr>
        <w:t xml:space="preserve"> Front Line. N </w:t>
      </w:r>
      <w:proofErr w:type="spellStart"/>
      <w:r w:rsidRPr="00167D4A">
        <w:rPr>
          <w:sz w:val="20"/>
          <w:szCs w:val="20"/>
        </w:rPr>
        <w:t>Engl</w:t>
      </w:r>
      <w:proofErr w:type="spellEnd"/>
      <w:r w:rsidRPr="00167D4A">
        <w:rPr>
          <w:sz w:val="20"/>
          <w:szCs w:val="20"/>
        </w:rPr>
        <w:t xml:space="preserve"> J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</w:t>
      </w:r>
      <w:proofErr w:type="spellEnd"/>
      <w:r>
        <w:rPr>
          <w:sz w:val="20"/>
          <w:szCs w:val="20"/>
        </w:rPr>
        <w:t>- March 18, 2020. Consulted</w:t>
      </w:r>
    </w:p>
    <w:p w:rsidR="00E917B7" w:rsidRDefault="00F53AD6" w:rsidP="00167D4A">
      <w:pPr>
        <w:spacing w:after="0"/>
        <w:jc w:val="both"/>
        <w:rPr>
          <w:sz w:val="20"/>
          <w:szCs w:val="20"/>
        </w:rPr>
      </w:pPr>
      <w:hyperlink r:id="rId9" w:history="1">
        <w:r w:rsidR="00E917B7" w:rsidRPr="005071D6">
          <w:rPr>
            <w:rStyle w:val="Collegamentoipertestuale"/>
            <w:sz w:val="20"/>
            <w:szCs w:val="20"/>
          </w:rPr>
          <w:t>https://www.nejm.org/doi/full/10.1056/NEJMp2005492</w:t>
        </w:r>
      </w:hyperlink>
    </w:p>
    <w:p w:rsidR="00167D4A" w:rsidRPr="00167D4A" w:rsidRDefault="00E917B7" w:rsidP="00167D4A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March 22, 2020</w:t>
      </w:r>
    </w:p>
    <w:p w:rsidR="00167D4A" w:rsidRP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</w:rPr>
        <w:t xml:space="preserve"> </w:t>
      </w:r>
    </w:p>
    <w:p w:rsidR="00167D4A" w:rsidRP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  <w:vertAlign w:val="superscript"/>
        </w:rPr>
        <w:t>2</w:t>
      </w:r>
      <w:r w:rsidRPr="00167D4A">
        <w:rPr>
          <w:sz w:val="20"/>
          <w:szCs w:val="20"/>
        </w:rPr>
        <w:t xml:space="preserve">DELIBERAZIONE N° XI / 2906 Seduta del 08/03/2020 </w:t>
      </w:r>
    </w:p>
    <w:p w:rsidR="00167D4A" w:rsidRP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</w:rPr>
        <w:t xml:space="preserve"> </w:t>
      </w:r>
    </w:p>
    <w:p w:rsidR="00E917B7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  <w:vertAlign w:val="superscript"/>
        </w:rPr>
        <w:t>3</w:t>
      </w:r>
      <w:r w:rsidRPr="00167D4A">
        <w:rPr>
          <w:sz w:val="20"/>
          <w:szCs w:val="20"/>
        </w:rPr>
        <w:t xml:space="preserve">Caratteristiche dei pazienti deceduti positivi a COVID-19 in Italia; dati al 2 aprile 2020; </w:t>
      </w:r>
      <w:hyperlink r:id="rId10" w:history="1">
        <w:r w:rsidR="00E917B7" w:rsidRPr="005071D6">
          <w:rPr>
            <w:rStyle w:val="Collegamentoipertestuale"/>
            <w:sz w:val="20"/>
            <w:szCs w:val="20"/>
          </w:rPr>
          <w:t>https://www.epicentro.iss.it/coronavirus/sars-cov-2-decessi-italia</w:t>
        </w:r>
      </w:hyperlink>
    </w:p>
    <w:p w:rsidR="00167D4A" w:rsidRP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</w:rPr>
        <w:t xml:space="preserve"> </w:t>
      </w:r>
    </w:p>
    <w:p w:rsidR="00167D4A" w:rsidRP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  <w:vertAlign w:val="superscript"/>
        </w:rPr>
        <w:t>4</w:t>
      </w:r>
      <w:r w:rsidRPr="00167D4A">
        <w:rPr>
          <w:sz w:val="20"/>
          <w:szCs w:val="20"/>
        </w:rPr>
        <w:t xml:space="preserve">The </w:t>
      </w:r>
      <w:proofErr w:type="spellStart"/>
      <w:r w:rsidRPr="00167D4A">
        <w:rPr>
          <w:sz w:val="20"/>
          <w:szCs w:val="20"/>
        </w:rPr>
        <w:t>Epidemiological</w:t>
      </w:r>
      <w:proofErr w:type="spellEnd"/>
      <w:r w:rsidRPr="00167D4A">
        <w:rPr>
          <w:sz w:val="20"/>
          <w:szCs w:val="20"/>
        </w:rPr>
        <w:t xml:space="preserve"> </w:t>
      </w:r>
      <w:proofErr w:type="spellStart"/>
      <w:r w:rsidRPr="00167D4A">
        <w:rPr>
          <w:sz w:val="20"/>
          <w:szCs w:val="20"/>
        </w:rPr>
        <w:t>Characteristics</w:t>
      </w:r>
      <w:proofErr w:type="spellEnd"/>
      <w:r w:rsidRPr="00167D4A">
        <w:rPr>
          <w:sz w:val="20"/>
          <w:szCs w:val="20"/>
        </w:rPr>
        <w:t xml:space="preserve"> of an </w:t>
      </w:r>
      <w:proofErr w:type="spellStart"/>
      <w:r w:rsidRPr="00167D4A">
        <w:rPr>
          <w:sz w:val="20"/>
          <w:szCs w:val="20"/>
        </w:rPr>
        <w:t>Outbreak</w:t>
      </w:r>
      <w:proofErr w:type="spellEnd"/>
      <w:r w:rsidRPr="00167D4A">
        <w:rPr>
          <w:sz w:val="20"/>
          <w:szCs w:val="20"/>
        </w:rPr>
        <w:t xml:space="preserve"> of 2019 </w:t>
      </w:r>
      <w:proofErr w:type="spellStart"/>
      <w:r w:rsidRPr="00167D4A">
        <w:rPr>
          <w:sz w:val="20"/>
          <w:szCs w:val="20"/>
        </w:rPr>
        <w:t>Novel</w:t>
      </w:r>
      <w:proofErr w:type="spellEnd"/>
      <w:r w:rsidRPr="00167D4A">
        <w:rPr>
          <w:sz w:val="20"/>
          <w:szCs w:val="20"/>
        </w:rPr>
        <w:t xml:space="preserve"> Coronavirus </w:t>
      </w:r>
      <w:proofErr w:type="spellStart"/>
      <w:r w:rsidRPr="00167D4A">
        <w:rPr>
          <w:sz w:val="20"/>
          <w:szCs w:val="20"/>
        </w:rPr>
        <w:t>Disease</w:t>
      </w:r>
      <w:proofErr w:type="spellEnd"/>
      <w:r w:rsidRPr="00167D4A">
        <w:rPr>
          <w:sz w:val="20"/>
          <w:szCs w:val="20"/>
        </w:rPr>
        <w:t xml:space="preserve"> (COVID19). China CDC </w:t>
      </w:r>
      <w:proofErr w:type="spellStart"/>
      <w:r w:rsidRPr="00167D4A">
        <w:rPr>
          <w:sz w:val="20"/>
          <w:szCs w:val="20"/>
        </w:rPr>
        <w:t>Weekly</w:t>
      </w:r>
      <w:proofErr w:type="spellEnd"/>
      <w:r w:rsidRPr="00167D4A">
        <w:rPr>
          <w:sz w:val="20"/>
          <w:szCs w:val="20"/>
        </w:rPr>
        <w:t xml:space="preserve"> 2020. 2(8): 1. </w:t>
      </w:r>
    </w:p>
    <w:p w:rsidR="00167D4A" w:rsidRP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</w:rPr>
        <w:t xml:space="preserve"> </w:t>
      </w:r>
    </w:p>
    <w:p w:rsidR="00E917B7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  <w:vertAlign w:val="superscript"/>
        </w:rPr>
        <w:t>5</w:t>
      </w:r>
      <w:r w:rsidRPr="00167D4A">
        <w:rPr>
          <w:sz w:val="20"/>
          <w:szCs w:val="20"/>
        </w:rPr>
        <w:t xml:space="preserve">COVID-19. Aggiornamento della definizione di caso. Ministero della Salute </w:t>
      </w:r>
      <w:r>
        <w:rPr>
          <w:sz w:val="20"/>
          <w:szCs w:val="20"/>
        </w:rPr>
        <w:t>Circolare 9 marzo 2009 (consultata su</w:t>
      </w:r>
      <w:r w:rsidRPr="00167D4A">
        <w:rPr>
          <w:sz w:val="20"/>
          <w:szCs w:val="20"/>
        </w:rPr>
        <w:t xml:space="preserve"> </w:t>
      </w:r>
      <w:hyperlink r:id="rId11" w:history="1">
        <w:r w:rsidR="00E917B7" w:rsidRPr="005071D6">
          <w:rPr>
            <w:rStyle w:val="Collegamentoipertestuale"/>
            <w:sz w:val="20"/>
            <w:szCs w:val="20"/>
          </w:rPr>
          <w:t>https://www.fnopi.it/wpcontent/uploads/2020/03/Circolare_9_marzo_2020.pdf</w:t>
        </w:r>
      </w:hyperlink>
    </w:p>
    <w:p w:rsidR="00167D4A" w:rsidRP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</w:rPr>
        <w:t xml:space="preserve"> </w:t>
      </w:r>
    </w:p>
    <w:p w:rsidR="00E917B7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  <w:vertAlign w:val="superscript"/>
        </w:rPr>
        <w:t>6</w:t>
      </w:r>
      <w:r w:rsidRPr="00167D4A">
        <w:rPr>
          <w:sz w:val="20"/>
          <w:szCs w:val="20"/>
        </w:rPr>
        <w:t>https://www.aliceitalia.org/attivita-notiz</w:t>
      </w:r>
      <w:r w:rsidR="00E917B7">
        <w:rPr>
          <w:sz w:val="20"/>
          <w:szCs w:val="20"/>
        </w:rPr>
        <w:t>ie-eventi-ALICe-Italia/3/958/</w:t>
      </w:r>
    </w:p>
    <w:p w:rsidR="00167D4A" w:rsidRP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</w:rPr>
        <w:t xml:space="preserve"> </w:t>
      </w:r>
    </w:p>
    <w:p w:rsidR="00167D4A" w:rsidRP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  <w:vertAlign w:val="superscript"/>
        </w:rPr>
        <w:t>7</w:t>
      </w:r>
      <w:r w:rsidRPr="00167D4A">
        <w:rPr>
          <w:sz w:val="20"/>
          <w:szCs w:val="20"/>
        </w:rPr>
        <w:t xml:space="preserve">Documento </w:t>
      </w:r>
      <w:proofErr w:type="spellStart"/>
      <w:r w:rsidRPr="00167D4A">
        <w:rPr>
          <w:sz w:val="20"/>
          <w:szCs w:val="20"/>
        </w:rPr>
        <w:t>Intersocetario</w:t>
      </w:r>
      <w:proofErr w:type="spellEnd"/>
      <w:r w:rsidRPr="00167D4A">
        <w:rPr>
          <w:sz w:val="20"/>
          <w:szCs w:val="20"/>
        </w:rPr>
        <w:t xml:space="preserve"> SIUMB, FISM, SIRM, Utilizzo della Diagnostica per immagini nei pazienti COVID 19. Marzo 2020 </w:t>
      </w:r>
    </w:p>
    <w:p w:rsidR="00167D4A" w:rsidRP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</w:rPr>
        <w:t xml:space="preserve"> </w:t>
      </w:r>
    </w:p>
    <w:p w:rsidR="00167D4A" w:rsidRP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  <w:vertAlign w:val="superscript"/>
        </w:rPr>
        <w:t>8</w:t>
      </w:r>
      <w:r w:rsidRPr="00167D4A">
        <w:rPr>
          <w:sz w:val="20"/>
          <w:szCs w:val="20"/>
        </w:rPr>
        <w:t xml:space="preserve">Linee Guida Cinesi sulla Gestione di COVID-19 Versione 7°; Pubblicate in data 3/3/2020 dalla Commissione della Salute Nazionale della R.P.C. e dall’Amministrazione Nazionale della Medicina Tradizionale della R.P.C.  </w:t>
      </w:r>
    </w:p>
    <w:p w:rsidR="00167D4A" w:rsidRP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</w:rPr>
        <w:t xml:space="preserve"> </w:t>
      </w:r>
    </w:p>
    <w:p w:rsidR="00167D4A" w:rsidRP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  <w:vertAlign w:val="superscript"/>
        </w:rPr>
        <w:t>9</w:t>
      </w:r>
      <w:r w:rsidRPr="00167D4A">
        <w:rPr>
          <w:sz w:val="20"/>
          <w:szCs w:val="20"/>
        </w:rPr>
        <w:t xml:space="preserve">AINR 2020; Sala Angiografica: Indicazioni Operative Per Stretto Contatto Operatore-Paziente. </w:t>
      </w:r>
    </w:p>
    <w:p w:rsidR="00167D4A" w:rsidRP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</w:rPr>
        <w:t xml:space="preserve"> </w:t>
      </w:r>
    </w:p>
    <w:p w:rsid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  <w:vertAlign w:val="superscript"/>
        </w:rPr>
        <w:t>10</w:t>
      </w:r>
      <w:r w:rsidRPr="00167D4A">
        <w:rPr>
          <w:sz w:val="20"/>
          <w:szCs w:val="20"/>
        </w:rPr>
        <w:t xml:space="preserve">Ling Mao et al. </w:t>
      </w:r>
      <w:proofErr w:type="spellStart"/>
      <w:r w:rsidRPr="00167D4A">
        <w:rPr>
          <w:sz w:val="20"/>
          <w:szCs w:val="20"/>
        </w:rPr>
        <w:t>Neurological</w:t>
      </w:r>
      <w:proofErr w:type="spellEnd"/>
      <w:r w:rsidRPr="00167D4A">
        <w:rPr>
          <w:sz w:val="20"/>
          <w:szCs w:val="20"/>
        </w:rPr>
        <w:t xml:space="preserve"> </w:t>
      </w:r>
      <w:proofErr w:type="spellStart"/>
      <w:r w:rsidRPr="00167D4A">
        <w:rPr>
          <w:sz w:val="20"/>
          <w:szCs w:val="20"/>
        </w:rPr>
        <w:t>Manifestations</w:t>
      </w:r>
      <w:proofErr w:type="spellEnd"/>
      <w:r w:rsidRPr="00167D4A">
        <w:rPr>
          <w:sz w:val="20"/>
          <w:szCs w:val="20"/>
        </w:rPr>
        <w:t xml:space="preserve"> of </w:t>
      </w:r>
      <w:proofErr w:type="spellStart"/>
      <w:r w:rsidRPr="00167D4A">
        <w:rPr>
          <w:sz w:val="20"/>
          <w:szCs w:val="20"/>
        </w:rPr>
        <w:t>Hospitalized</w:t>
      </w:r>
      <w:proofErr w:type="spellEnd"/>
      <w:r w:rsidRPr="00167D4A">
        <w:rPr>
          <w:sz w:val="20"/>
          <w:szCs w:val="20"/>
        </w:rPr>
        <w:t xml:space="preserve"> </w:t>
      </w:r>
      <w:proofErr w:type="spellStart"/>
      <w:r w:rsidRPr="00167D4A">
        <w:rPr>
          <w:sz w:val="20"/>
          <w:szCs w:val="20"/>
        </w:rPr>
        <w:t>Patients</w:t>
      </w:r>
      <w:proofErr w:type="spellEnd"/>
      <w:r w:rsidRPr="00167D4A">
        <w:rPr>
          <w:sz w:val="20"/>
          <w:szCs w:val="20"/>
        </w:rPr>
        <w:t xml:space="preserve"> with COVID-19 in </w:t>
      </w:r>
      <w:proofErr w:type="spellStart"/>
      <w:r w:rsidRPr="00167D4A">
        <w:rPr>
          <w:sz w:val="20"/>
          <w:szCs w:val="20"/>
        </w:rPr>
        <w:t>Whuan</w:t>
      </w:r>
      <w:proofErr w:type="spellEnd"/>
      <w:r w:rsidRPr="00167D4A">
        <w:rPr>
          <w:sz w:val="20"/>
          <w:szCs w:val="20"/>
        </w:rPr>
        <w:t xml:space="preserve">, China: a </w:t>
      </w:r>
      <w:proofErr w:type="spellStart"/>
      <w:r w:rsidRPr="00167D4A">
        <w:rPr>
          <w:sz w:val="20"/>
          <w:szCs w:val="20"/>
        </w:rPr>
        <w:t>reterospective</w:t>
      </w:r>
      <w:proofErr w:type="spellEnd"/>
      <w:r w:rsidRPr="00167D4A">
        <w:rPr>
          <w:sz w:val="20"/>
          <w:szCs w:val="20"/>
        </w:rPr>
        <w:t xml:space="preserve"> case </w:t>
      </w:r>
      <w:proofErr w:type="spellStart"/>
      <w:r w:rsidRPr="00167D4A">
        <w:rPr>
          <w:sz w:val="20"/>
          <w:szCs w:val="20"/>
        </w:rPr>
        <w:t>series</w:t>
      </w:r>
      <w:proofErr w:type="spellEnd"/>
      <w:r w:rsidRPr="00167D4A">
        <w:rPr>
          <w:sz w:val="20"/>
          <w:szCs w:val="20"/>
        </w:rPr>
        <w:t xml:space="preserve"> </w:t>
      </w:r>
      <w:proofErr w:type="spellStart"/>
      <w:r w:rsidRPr="00167D4A">
        <w:rPr>
          <w:sz w:val="20"/>
          <w:szCs w:val="20"/>
        </w:rPr>
        <w:t>study</w:t>
      </w:r>
      <w:proofErr w:type="spellEnd"/>
      <w:r w:rsidRPr="00167D4A">
        <w:rPr>
          <w:sz w:val="20"/>
          <w:szCs w:val="20"/>
        </w:rPr>
        <w:t xml:space="preserve">. The </w:t>
      </w:r>
      <w:proofErr w:type="spellStart"/>
      <w:r w:rsidRPr="00167D4A">
        <w:rPr>
          <w:sz w:val="20"/>
          <w:szCs w:val="20"/>
        </w:rPr>
        <w:t>lancet</w:t>
      </w:r>
      <w:proofErr w:type="spellEnd"/>
      <w:r w:rsidRPr="00167D4A">
        <w:rPr>
          <w:sz w:val="20"/>
          <w:szCs w:val="20"/>
        </w:rPr>
        <w:t xml:space="preserve"> </w:t>
      </w:r>
      <w:proofErr w:type="spellStart"/>
      <w:r w:rsidRPr="00167D4A">
        <w:rPr>
          <w:sz w:val="20"/>
          <w:szCs w:val="20"/>
        </w:rPr>
        <w:t>Neurolog</w:t>
      </w:r>
      <w:r>
        <w:rPr>
          <w:sz w:val="20"/>
          <w:szCs w:val="20"/>
        </w:rPr>
        <w:t>y</w:t>
      </w:r>
      <w:proofErr w:type="spellEnd"/>
      <w:r>
        <w:rPr>
          <w:sz w:val="20"/>
          <w:szCs w:val="20"/>
        </w:rPr>
        <w:t xml:space="preserve">. IN Press. </w:t>
      </w:r>
      <w:proofErr w:type="spellStart"/>
      <w:r>
        <w:rPr>
          <w:sz w:val="20"/>
          <w:szCs w:val="20"/>
        </w:rPr>
        <w:t>Available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</w:t>
      </w:r>
      <w:proofErr w:type="spellEnd"/>
      <w:r>
        <w:rPr>
          <w:sz w:val="20"/>
          <w:szCs w:val="20"/>
        </w:rPr>
        <w:t xml:space="preserve"> SSRN:</w:t>
      </w:r>
    </w:p>
    <w:p w:rsidR="00E917B7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</w:rPr>
        <w:t>https://ssrn.com/abst</w:t>
      </w:r>
      <w:r>
        <w:rPr>
          <w:sz w:val="20"/>
          <w:szCs w:val="20"/>
        </w:rPr>
        <w:t xml:space="preserve">ract=3544840 </w:t>
      </w:r>
      <w:r w:rsidRPr="00167D4A">
        <w:rPr>
          <w:sz w:val="20"/>
          <w:szCs w:val="20"/>
        </w:rPr>
        <w:t xml:space="preserve">or </w:t>
      </w:r>
      <w:hyperlink r:id="rId12" w:history="1">
        <w:r w:rsidR="00E917B7" w:rsidRPr="005071D6">
          <w:rPr>
            <w:rStyle w:val="Collegamentoipertestuale"/>
            <w:sz w:val="20"/>
            <w:szCs w:val="20"/>
          </w:rPr>
          <w:t>http://dx.doi.org/10.2139/ssrn.3544840</w:t>
        </w:r>
      </w:hyperlink>
    </w:p>
    <w:p w:rsidR="00167D4A" w:rsidRP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</w:rPr>
        <w:t xml:space="preserve"> </w:t>
      </w:r>
    </w:p>
    <w:p w:rsidR="00167D4A" w:rsidRP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  <w:vertAlign w:val="superscript"/>
        </w:rPr>
        <w:t>11</w:t>
      </w:r>
      <w:r w:rsidRPr="00167D4A">
        <w:rPr>
          <w:sz w:val="20"/>
          <w:szCs w:val="20"/>
        </w:rPr>
        <w:t xml:space="preserve">Zhao Y, Zhao Z, </w:t>
      </w:r>
      <w:proofErr w:type="spellStart"/>
      <w:r w:rsidRPr="00167D4A">
        <w:rPr>
          <w:sz w:val="20"/>
          <w:szCs w:val="20"/>
        </w:rPr>
        <w:t>Wang</w:t>
      </w:r>
      <w:proofErr w:type="spellEnd"/>
      <w:r w:rsidRPr="00167D4A">
        <w:rPr>
          <w:sz w:val="20"/>
          <w:szCs w:val="20"/>
        </w:rPr>
        <w:t xml:space="preserve"> Y, et al. Single-</w:t>
      </w:r>
      <w:proofErr w:type="spellStart"/>
      <w:r w:rsidRPr="00167D4A">
        <w:rPr>
          <w:sz w:val="20"/>
          <w:szCs w:val="20"/>
        </w:rPr>
        <w:t>cell</w:t>
      </w:r>
      <w:proofErr w:type="spellEnd"/>
      <w:r w:rsidRPr="00167D4A">
        <w:rPr>
          <w:sz w:val="20"/>
          <w:szCs w:val="20"/>
        </w:rPr>
        <w:t xml:space="preserve"> RNA </w:t>
      </w:r>
      <w:proofErr w:type="spellStart"/>
      <w:r w:rsidRPr="00167D4A">
        <w:rPr>
          <w:sz w:val="20"/>
          <w:szCs w:val="20"/>
        </w:rPr>
        <w:t>expression</w:t>
      </w:r>
      <w:proofErr w:type="spellEnd"/>
      <w:r w:rsidRPr="00167D4A">
        <w:rPr>
          <w:sz w:val="20"/>
          <w:szCs w:val="20"/>
        </w:rPr>
        <w:t xml:space="preserve"> </w:t>
      </w:r>
      <w:proofErr w:type="spellStart"/>
      <w:r w:rsidRPr="00167D4A">
        <w:rPr>
          <w:sz w:val="20"/>
          <w:szCs w:val="20"/>
        </w:rPr>
        <w:t>profiling</w:t>
      </w:r>
      <w:proofErr w:type="spellEnd"/>
      <w:r w:rsidRPr="00167D4A">
        <w:rPr>
          <w:sz w:val="20"/>
          <w:szCs w:val="20"/>
        </w:rPr>
        <w:t xml:space="preserve"> of ACE2, the putative </w:t>
      </w:r>
      <w:proofErr w:type="spellStart"/>
      <w:r w:rsidRPr="00167D4A">
        <w:rPr>
          <w:sz w:val="20"/>
          <w:szCs w:val="20"/>
        </w:rPr>
        <w:t>receptor</w:t>
      </w:r>
      <w:proofErr w:type="spellEnd"/>
      <w:r w:rsidRPr="00167D4A">
        <w:rPr>
          <w:sz w:val="20"/>
          <w:szCs w:val="20"/>
        </w:rPr>
        <w:t xml:space="preserve"> of Wuhan 2019-nCov. </w:t>
      </w:r>
      <w:proofErr w:type="spellStart"/>
      <w:proofErr w:type="gramStart"/>
      <w:r w:rsidRPr="00167D4A">
        <w:rPr>
          <w:sz w:val="20"/>
          <w:szCs w:val="20"/>
        </w:rPr>
        <w:t>bioRxiv</w:t>
      </w:r>
      <w:proofErr w:type="spellEnd"/>
      <w:proofErr w:type="gramEnd"/>
      <w:r w:rsidRPr="00167D4A">
        <w:rPr>
          <w:sz w:val="20"/>
          <w:szCs w:val="20"/>
        </w:rPr>
        <w:t xml:space="preserve"> 2020  </w:t>
      </w:r>
    </w:p>
    <w:p w:rsidR="00167D4A" w:rsidRP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</w:rPr>
        <w:t xml:space="preserve"> </w:t>
      </w:r>
    </w:p>
    <w:p w:rsidR="00167D4A" w:rsidRP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  <w:vertAlign w:val="superscript"/>
        </w:rPr>
        <w:t>12</w:t>
      </w:r>
      <w:r w:rsidRPr="00167D4A">
        <w:rPr>
          <w:sz w:val="20"/>
          <w:szCs w:val="20"/>
        </w:rPr>
        <w:t xml:space="preserve">Hamming, W </w:t>
      </w:r>
      <w:proofErr w:type="spellStart"/>
      <w:r w:rsidRPr="00167D4A">
        <w:rPr>
          <w:sz w:val="20"/>
          <w:szCs w:val="20"/>
        </w:rPr>
        <w:t>Timens</w:t>
      </w:r>
      <w:proofErr w:type="spellEnd"/>
      <w:r w:rsidRPr="00167D4A">
        <w:rPr>
          <w:sz w:val="20"/>
          <w:szCs w:val="20"/>
        </w:rPr>
        <w:t xml:space="preserve">, MLC </w:t>
      </w:r>
      <w:proofErr w:type="spellStart"/>
      <w:r w:rsidRPr="00167D4A">
        <w:rPr>
          <w:sz w:val="20"/>
          <w:szCs w:val="20"/>
        </w:rPr>
        <w:t>Bulthuis</w:t>
      </w:r>
      <w:proofErr w:type="spellEnd"/>
      <w:r w:rsidRPr="00167D4A">
        <w:rPr>
          <w:sz w:val="20"/>
          <w:szCs w:val="20"/>
        </w:rPr>
        <w:t xml:space="preserve">, et al. </w:t>
      </w:r>
      <w:proofErr w:type="spellStart"/>
      <w:r w:rsidRPr="00167D4A">
        <w:rPr>
          <w:sz w:val="20"/>
          <w:szCs w:val="20"/>
        </w:rPr>
        <w:t>Tissue</w:t>
      </w:r>
      <w:proofErr w:type="spellEnd"/>
      <w:r w:rsidRPr="00167D4A">
        <w:rPr>
          <w:sz w:val="20"/>
          <w:szCs w:val="20"/>
        </w:rPr>
        <w:t xml:space="preserve"> </w:t>
      </w:r>
      <w:proofErr w:type="spellStart"/>
      <w:r w:rsidRPr="00167D4A">
        <w:rPr>
          <w:sz w:val="20"/>
          <w:szCs w:val="20"/>
        </w:rPr>
        <w:t>distribution</w:t>
      </w:r>
      <w:proofErr w:type="spellEnd"/>
      <w:r w:rsidRPr="00167D4A">
        <w:rPr>
          <w:sz w:val="20"/>
          <w:szCs w:val="20"/>
        </w:rPr>
        <w:t xml:space="preserve"> of ACE2 </w:t>
      </w:r>
      <w:proofErr w:type="spellStart"/>
      <w:r w:rsidRPr="00167D4A">
        <w:rPr>
          <w:sz w:val="20"/>
          <w:szCs w:val="20"/>
        </w:rPr>
        <w:t>protein</w:t>
      </w:r>
      <w:proofErr w:type="spellEnd"/>
      <w:r w:rsidRPr="00167D4A">
        <w:rPr>
          <w:sz w:val="20"/>
          <w:szCs w:val="20"/>
        </w:rPr>
        <w:t xml:space="preserve">, the </w:t>
      </w:r>
      <w:proofErr w:type="spellStart"/>
      <w:r w:rsidRPr="00167D4A">
        <w:rPr>
          <w:sz w:val="20"/>
          <w:szCs w:val="20"/>
        </w:rPr>
        <w:t>functional</w:t>
      </w:r>
      <w:proofErr w:type="spellEnd"/>
      <w:r w:rsidRPr="00167D4A">
        <w:rPr>
          <w:sz w:val="20"/>
          <w:szCs w:val="20"/>
        </w:rPr>
        <w:t xml:space="preserve"> </w:t>
      </w:r>
      <w:proofErr w:type="spellStart"/>
      <w:r w:rsidRPr="00167D4A">
        <w:rPr>
          <w:sz w:val="20"/>
          <w:szCs w:val="20"/>
        </w:rPr>
        <w:t>receptor</w:t>
      </w:r>
      <w:proofErr w:type="spellEnd"/>
      <w:r w:rsidRPr="00167D4A">
        <w:rPr>
          <w:sz w:val="20"/>
          <w:szCs w:val="20"/>
        </w:rPr>
        <w:t xml:space="preserve"> for SARS coronavirus. A first </w:t>
      </w:r>
      <w:proofErr w:type="spellStart"/>
      <w:r w:rsidRPr="00167D4A">
        <w:rPr>
          <w:sz w:val="20"/>
          <w:szCs w:val="20"/>
        </w:rPr>
        <w:t>step</w:t>
      </w:r>
      <w:proofErr w:type="spellEnd"/>
      <w:r w:rsidRPr="00167D4A">
        <w:rPr>
          <w:sz w:val="20"/>
          <w:szCs w:val="20"/>
        </w:rPr>
        <w:t xml:space="preserve"> in </w:t>
      </w:r>
      <w:proofErr w:type="spellStart"/>
      <w:r w:rsidRPr="00167D4A">
        <w:rPr>
          <w:sz w:val="20"/>
          <w:szCs w:val="20"/>
        </w:rPr>
        <w:t>understanding</w:t>
      </w:r>
      <w:proofErr w:type="spellEnd"/>
      <w:r w:rsidRPr="00167D4A">
        <w:rPr>
          <w:sz w:val="20"/>
          <w:szCs w:val="20"/>
        </w:rPr>
        <w:t xml:space="preserve"> SARS </w:t>
      </w:r>
      <w:proofErr w:type="spellStart"/>
      <w:r w:rsidRPr="00167D4A">
        <w:rPr>
          <w:sz w:val="20"/>
          <w:szCs w:val="20"/>
        </w:rPr>
        <w:t>pathogenesis</w:t>
      </w:r>
      <w:proofErr w:type="spellEnd"/>
      <w:r w:rsidRPr="00167D4A">
        <w:rPr>
          <w:sz w:val="20"/>
          <w:szCs w:val="20"/>
        </w:rPr>
        <w:t xml:space="preserve">. J </w:t>
      </w:r>
      <w:proofErr w:type="spellStart"/>
      <w:r w:rsidRPr="00167D4A">
        <w:rPr>
          <w:sz w:val="20"/>
          <w:szCs w:val="20"/>
        </w:rPr>
        <w:t>Pathol</w:t>
      </w:r>
      <w:proofErr w:type="spellEnd"/>
      <w:r w:rsidRPr="00167D4A">
        <w:rPr>
          <w:sz w:val="20"/>
          <w:szCs w:val="20"/>
        </w:rPr>
        <w:t xml:space="preserve"> 2004; 203:631–637. </w:t>
      </w:r>
    </w:p>
    <w:p w:rsidR="00167D4A" w:rsidRP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</w:rPr>
        <w:t xml:space="preserve"> </w:t>
      </w:r>
    </w:p>
    <w:p w:rsid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  <w:vertAlign w:val="superscript"/>
        </w:rPr>
        <w:t>13</w:t>
      </w:r>
      <w:r>
        <w:rPr>
          <w:sz w:val="20"/>
          <w:szCs w:val="20"/>
        </w:rPr>
        <w:t>RCP Lopinavir/ritonavir</w:t>
      </w:r>
    </w:p>
    <w:p w:rsidR="00E917B7" w:rsidRDefault="00F53AD6" w:rsidP="00167D4A">
      <w:pPr>
        <w:spacing w:after="0"/>
        <w:jc w:val="both"/>
        <w:rPr>
          <w:sz w:val="20"/>
          <w:szCs w:val="20"/>
        </w:rPr>
      </w:pPr>
      <w:hyperlink r:id="rId13" w:history="1">
        <w:r w:rsidR="00E917B7" w:rsidRPr="005071D6">
          <w:rPr>
            <w:rStyle w:val="Collegamentoipertestuale"/>
            <w:sz w:val="20"/>
            <w:szCs w:val="20"/>
          </w:rPr>
          <w:t>https://farmaci.agenziafarmaco.gov.it/aifa/https://farmaci.agenziafarmaco.gov.it/aifa/</w:t>
        </w:r>
      </w:hyperlink>
    </w:p>
    <w:p w:rsidR="00167D4A" w:rsidRDefault="00167D4A" w:rsidP="00167D4A">
      <w:pPr>
        <w:spacing w:after="0"/>
        <w:jc w:val="both"/>
        <w:rPr>
          <w:sz w:val="20"/>
          <w:szCs w:val="20"/>
        </w:rPr>
      </w:pPr>
      <w:proofErr w:type="gramStart"/>
      <w:r w:rsidRPr="00167D4A">
        <w:rPr>
          <w:sz w:val="20"/>
          <w:szCs w:val="20"/>
        </w:rPr>
        <w:t>consultato</w:t>
      </w:r>
      <w:proofErr w:type="gramEnd"/>
      <w:r w:rsidRPr="00167D4A">
        <w:rPr>
          <w:sz w:val="20"/>
          <w:szCs w:val="20"/>
        </w:rPr>
        <w:t xml:space="preserve"> il 19.03.2020</w:t>
      </w:r>
    </w:p>
    <w:p w:rsidR="00E917B7" w:rsidRDefault="00E917B7" w:rsidP="00167D4A">
      <w:pPr>
        <w:spacing w:after="0"/>
        <w:jc w:val="both"/>
        <w:rPr>
          <w:sz w:val="20"/>
          <w:szCs w:val="20"/>
        </w:rPr>
      </w:pPr>
    </w:p>
    <w:p w:rsid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  <w:vertAlign w:val="superscript"/>
        </w:rPr>
        <w:t>14</w:t>
      </w:r>
      <w:r>
        <w:rPr>
          <w:sz w:val="20"/>
          <w:szCs w:val="20"/>
        </w:rPr>
        <w:t>RCP Clorochina</w:t>
      </w:r>
    </w:p>
    <w:p w:rsidR="00167D4A" w:rsidRDefault="00F53AD6" w:rsidP="00167D4A">
      <w:pPr>
        <w:spacing w:after="0"/>
        <w:jc w:val="both"/>
        <w:rPr>
          <w:sz w:val="20"/>
          <w:szCs w:val="20"/>
        </w:rPr>
      </w:pPr>
      <w:hyperlink r:id="rId14" w:history="1">
        <w:r w:rsidR="00167D4A" w:rsidRPr="005071D6">
          <w:rPr>
            <w:rStyle w:val="Collegamentoipertestuale"/>
            <w:sz w:val="20"/>
            <w:szCs w:val="20"/>
          </w:rPr>
          <w:t>https://farmaci.agenziafarmaco.gov.it/aifa/</w:t>
        </w:r>
      </w:hyperlink>
    </w:p>
    <w:p w:rsidR="00E917B7" w:rsidRDefault="00F53AD6" w:rsidP="00167D4A">
      <w:pPr>
        <w:spacing w:after="0"/>
        <w:jc w:val="both"/>
        <w:rPr>
          <w:sz w:val="20"/>
          <w:szCs w:val="20"/>
        </w:rPr>
      </w:pPr>
      <w:hyperlink r:id="rId15" w:history="1">
        <w:r w:rsidR="00167D4A" w:rsidRPr="005071D6">
          <w:rPr>
            <w:rStyle w:val="Collegamentoipertestuale"/>
            <w:sz w:val="20"/>
            <w:szCs w:val="20"/>
          </w:rPr>
          <w:t>https://farmaci.agenziafarmaco.gov.it/aifa/</w:t>
        </w:r>
      </w:hyperlink>
    </w:p>
    <w:p w:rsidR="00167D4A" w:rsidRPr="00167D4A" w:rsidRDefault="00167D4A" w:rsidP="00167D4A">
      <w:pPr>
        <w:spacing w:after="0"/>
        <w:jc w:val="both"/>
        <w:rPr>
          <w:sz w:val="20"/>
          <w:szCs w:val="20"/>
        </w:rPr>
      </w:pPr>
      <w:proofErr w:type="gramStart"/>
      <w:r w:rsidRPr="00167D4A">
        <w:rPr>
          <w:sz w:val="20"/>
          <w:szCs w:val="20"/>
        </w:rPr>
        <w:t>consultato</w:t>
      </w:r>
      <w:proofErr w:type="gramEnd"/>
      <w:r w:rsidRPr="00167D4A">
        <w:rPr>
          <w:sz w:val="20"/>
          <w:szCs w:val="20"/>
        </w:rPr>
        <w:t xml:space="preserve"> il 19.03.2020 </w:t>
      </w:r>
    </w:p>
    <w:p w:rsidR="00167D4A" w:rsidRP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</w:rPr>
        <w:t xml:space="preserve"> </w:t>
      </w:r>
    </w:p>
    <w:p w:rsidR="00167D4A" w:rsidRDefault="00167D4A" w:rsidP="00167D4A">
      <w:pPr>
        <w:spacing w:after="0"/>
        <w:jc w:val="both"/>
        <w:rPr>
          <w:sz w:val="20"/>
          <w:szCs w:val="20"/>
        </w:rPr>
      </w:pPr>
      <w:r w:rsidRPr="00167D4A">
        <w:rPr>
          <w:sz w:val="20"/>
          <w:szCs w:val="20"/>
          <w:vertAlign w:val="superscript"/>
        </w:rPr>
        <w:t>15</w:t>
      </w:r>
      <w:r>
        <w:rPr>
          <w:sz w:val="20"/>
          <w:szCs w:val="20"/>
        </w:rPr>
        <w:t xml:space="preserve">RCP </w:t>
      </w:r>
      <w:proofErr w:type="spellStart"/>
      <w:r>
        <w:rPr>
          <w:sz w:val="20"/>
          <w:szCs w:val="20"/>
        </w:rPr>
        <w:t>Tocilizumab</w:t>
      </w:r>
      <w:proofErr w:type="spellEnd"/>
    </w:p>
    <w:p w:rsidR="00167D4A" w:rsidRDefault="00F53AD6" w:rsidP="00167D4A">
      <w:pPr>
        <w:spacing w:after="0"/>
        <w:jc w:val="both"/>
        <w:rPr>
          <w:sz w:val="20"/>
          <w:szCs w:val="20"/>
        </w:rPr>
      </w:pPr>
      <w:hyperlink r:id="rId16" w:history="1">
        <w:r w:rsidR="00E917B7" w:rsidRPr="005071D6">
          <w:rPr>
            <w:rStyle w:val="Collegamentoipertestuale"/>
            <w:sz w:val="20"/>
            <w:szCs w:val="20"/>
          </w:rPr>
          <w:t>https://www.aifa.gov.it/documents/20142/965010/RoActemra_13047_v1.0.pdf</w:t>
        </w:r>
      </w:hyperlink>
    </w:p>
    <w:p w:rsidR="00E917B7" w:rsidRPr="00167D4A" w:rsidRDefault="00E917B7" w:rsidP="00167D4A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sectPr w:rsidR="00E917B7" w:rsidRPr="00167D4A" w:rsidSect="00D7494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216"/>
    <w:multiLevelType w:val="hybridMultilevel"/>
    <w:tmpl w:val="4A1478DC"/>
    <w:lvl w:ilvl="0" w:tplc="04100011">
      <w:start w:val="1"/>
      <w:numFmt w:val="decimal"/>
      <w:lvlText w:val="%1)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>
    <w:nsid w:val="01F07800"/>
    <w:multiLevelType w:val="hybridMultilevel"/>
    <w:tmpl w:val="BA54CCBE"/>
    <w:lvl w:ilvl="0" w:tplc="04100015">
      <w:start w:val="1"/>
      <w:numFmt w:val="upperLetter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7AB6B46"/>
    <w:multiLevelType w:val="hybridMultilevel"/>
    <w:tmpl w:val="73CCEECC"/>
    <w:lvl w:ilvl="0" w:tplc="EF9A9A96">
      <w:start w:val="1"/>
      <w:numFmt w:val="bullet"/>
      <w:lvlText w:val="-"/>
      <w:lvlJc w:val="left"/>
      <w:pPr>
        <w:ind w:left="113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>
    <w:nsid w:val="126902A5"/>
    <w:multiLevelType w:val="hybridMultilevel"/>
    <w:tmpl w:val="495226A6"/>
    <w:lvl w:ilvl="0" w:tplc="2DE895B0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>
    <w:nsid w:val="156F70A8"/>
    <w:multiLevelType w:val="hybridMultilevel"/>
    <w:tmpl w:val="5E94D458"/>
    <w:lvl w:ilvl="0" w:tplc="EF9A9A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B44D88"/>
    <w:multiLevelType w:val="hybridMultilevel"/>
    <w:tmpl w:val="4A3444E8"/>
    <w:lvl w:ilvl="0" w:tplc="EF9A9A96">
      <w:start w:val="1"/>
      <w:numFmt w:val="bullet"/>
      <w:lvlText w:val="-"/>
      <w:lvlJc w:val="left"/>
      <w:pPr>
        <w:ind w:left="113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>
    <w:nsid w:val="21ED41F3"/>
    <w:multiLevelType w:val="hybridMultilevel"/>
    <w:tmpl w:val="9D54398A"/>
    <w:lvl w:ilvl="0" w:tplc="EF9A9A96">
      <w:start w:val="1"/>
      <w:numFmt w:val="bullet"/>
      <w:lvlText w:val="-"/>
      <w:lvlJc w:val="left"/>
      <w:pPr>
        <w:ind w:left="113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7">
    <w:nsid w:val="24F0562E"/>
    <w:multiLevelType w:val="hybridMultilevel"/>
    <w:tmpl w:val="E4227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C3672"/>
    <w:multiLevelType w:val="hybridMultilevel"/>
    <w:tmpl w:val="DA14CE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C18EC"/>
    <w:multiLevelType w:val="hybridMultilevel"/>
    <w:tmpl w:val="9E36F980"/>
    <w:lvl w:ilvl="0" w:tplc="EF9A9A96">
      <w:start w:val="1"/>
      <w:numFmt w:val="bullet"/>
      <w:lvlText w:val="-"/>
      <w:lvlJc w:val="left"/>
      <w:pPr>
        <w:ind w:left="113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>
    <w:nsid w:val="3DB61FF7"/>
    <w:multiLevelType w:val="hybridMultilevel"/>
    <w:tmpl w:val="E2E03636"/>
    <w:lvl w:ilvl="0" w:tplc="04100011">
      <w:start w:val="1"/>
      <w:numFmt w:val="decimal"/>
      <w:lvlText w:val="%1)"/>
      <w:lvlJc w:val="left"/>
      <w:pPr>
        <w:ind w:left="1850" w:hanging="360"/>
      </w:pPr>
    </w:lvl>
    <w:lvl w:ilvl="1" w:tplc="04100019" w:tentative="1">
      <w:start w:val="1"/>
      <w:numFmt w:val="lowerLetter"/>
      <w:lvlText w:val="%2."/>
      <w:lvlJc w:val="left"/>
      <w:pPr>
        <w:ind w:left="2570" w:hanging="360"/>
      </w:pPr>
    </w:lvl>
    <w:lvl w:ilvl="2" w:tplc="0410001B" w:tentative="1">
      <w:start w:val="1"/>
      <w:numFmt w:val="lowerRoman"/>
      <w:lvlText w:val="%3."/>
      <w:lvlJc w:val="right"/>
      <w:pPr>
        <w:ind w:left="3290" w:hanging="180"/>
      </w:pPr>
    </w:lvl>
    <w:lvl w:ilvl="3" w:tplc="0410000F" w:tentative="1">
      <w:start w:val="1"/>
      <w:numFmt w:val="decimal"/>
      <w:lvlText w:val="%4."/>
      <w:lvlJc w:val="left"/>
      <w:pPr>
        <w:ind w:left="4010" w:hanging="360"/>
      </w:pPr>
    </w:lvl>
    <w:lvl w:ilvl="4" w:tplc="04100019" w:tentative="1">
      <w:start w:val="1"/>
      <w:numFmt w:val="lowerLetter"/>
      <w:lvlText w:val="%5."/>
      <w:lvlJc w:val="left"/>
      <w:pPr>
        <w:ind w:left="4730" w:hanging="360"/>
      </w:pPr>
    </w:lvl>
    <w:lvl w:ilvl="5" w:tplc="0410001B" w:tentative="1">
      <w:start w:val="1"/>
      <w:numFmt w:val="lowerRoman"/>
      <w:lvlText w:val="%6."/>
      <w:lvlJc w:val="right"/>
      <w:pPr>
        <w:ind w:left="5450" w:hanging="180"/>
      </w:pPr>
    </w:lvl>
    <w:lvl w:ilvl="6" w:tplc="0410000F" w:tentative="1">
      <w:start w:val="1"/>
      <w:numFmt w:val="decimal"/>
      <w:lvlText w:val="%7."/>
      <w:lvlJc w:val="left"/>
      <w:pPr>
        <w:ind w:left="6170" w:hanging="360"/>
      </w:pPr>
    </w:lvl>
    <w:lvl w:ilvl="7" w:tplc="04100019" w:tentative="1">
      <w:start w:val="1"/>
      <w:numFmt w:val="lowerLetter"/>
      <w:lvlText w:val="%8."/>
      <w:lvlJc w:val="left"/>
      <w:pPr>
        <w:ind w:left="6890" w:hanging="360"/>
      </w:pPr>
    </w:lvl>
    <w:lvl w:ilvl="8" w:tplc="0410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1">
    <w:nsid w:val="66ED66F9"/>
    <w:multiLevelType w:val="hybridMultilevel"/>
    <w:tmpl w:val="0FF0D302"/>
    <w:lvl w:ilvl="0" w:tplc="C3760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D031F"/>
    <w:multiLevelType w:val="hybridMultilevel"/>
    <w:tmpl w:val="F55202A6"/>
    <w:lvl w:ilvl="0" w:tplc="EF9A9A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26134A"/>
    <w:multiLevelType w:val="hybridMultilevel"/>
    <w:tmpl w:val="6A3CFD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0E"/>
    <w:rsid w:val="000274D1"/>
    <w:rsid w:val="00054A4D"/>
    <w:rsid w:val="00060D1D"/>
    <w:rsid w:val="00083F8E"/>
    <w:rsid w:val="00165E74"/>
    <w:rsid w:val="00167D4A"/>
    <w:rsid w:val="0029285C"/>
    <w:rsid w:val="0029286D"/>
    <w:rsid w:val="002E4DA1"/>
    <w:rsid w:val="003101D3"/>
    <w:rsid w:val="005C4FE9"/>
    <w:rsid w:val="00624EA1"/>
    <w:rsid w:val="00645103"/>
    <w:rsid w:val="0064580E"/>
    <w:rsid w:val="008238F0"/>
    <w:rsid w:val="008B09E1"/>
    <w:rsid w:val="00B519C1"/>
    <w:rsid w:val="00B624E5"/>
    <w:rsid w:val="00B7607D"/>
    <w:rsid w:val="00C62C8A"/>
    <w:rsid w:val="00D325D8"/>
    <w:rsid w:val="00D74948"/>
    <w:rsid w:val="00DE0195"/>
    <w:rsid w:val="00E44449"/>
    <w:rsid w:val="00E8667F"/>
    <w:rsid w:val="00E917B7"/>
    <w:rsid w:val="00ED2270"/>
    <w:rsid w:val="00F53AD6"/>
    <w:rsid w:val="00F933F1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10C4-4FE2-46C8-9AD1-FBDB7BB9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4E5"/>
  </w:style>
  <w:style w:type="paragraph" w:styleId="Titolo1">
    <w:name w:val="heading 1"/>
    <w:basedOn w:val="Normale"/>
    <w:next w:val="Normale"/>
    <w:link w:val="Titolo1Carattere"/>
    <w:uiPriority w:val="9"/>
    <w:qFormat/>
    <w:rsid w:val="00624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2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2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24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24EA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928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286D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2928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67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recomunicazione.it" TargetMode="External"/><Relationship Id="rId13" Type="http://schemas.openxmlformats.org/officeDocument/2006/relationships/hyperlink" Target="https://farmaci.agenziafarmaco.gov.it/aifa/https://farmaci.agenziafarmaco.gov.it/aif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dx.doi.org/10.2139/ssrn.354484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ifa.gov.it/documents/20142/965010/RoActemra_13047_v1.0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nopi.it/wpcontent/uploads/2020/03/Circolare_9_marzo_202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rmaci.agenziafarmaco.gov.it/aifa/" TargetMode="External"/><Relationship Id="rId10" Type="http://schemas.openxmlformats.org/officeDocument/2006/relationships/hyperlink" Target="https://www.epicentro.iss.it/coronavirus/sars-cov-2-decessi-ital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jm.org/doi/full/10.1056/NEJMp2005492" TargetMode="External"/><Relationship Id="rId14" Type="http://schemas.openxmlformats.org/officeDocument/2006/relationships/hyperlink" Target="https://farmaci.agenziafarmaco.gov.it/aif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11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more comunicazione</cp:lastModifiedBy>
  <cp:revision>10</cp:revision>
  <dcterms:created xsi:type="dcterms:W3CDTF">2018-10-12T07:27:00Z</dcterms:created>
  <dcterms:modified xsi:type="dcterms:W3CDTF">2020-04-20T12:46:00Z</dcterms:modified>
</cp:coreProperties>
</file>